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C446" w14:textId="77777777" w:rsidR="003053A6" w:rsidRPr="003053A6" w:rsidRDefault="003053A6" w:rsidP="003053A6">
      <w:pPr>
        <w:bidi/>
        <w:spacing w:after="0" w:line="360" w:lineRule="auto"/>
        <w:jc w:val="both"/>
        <w:rPr>
          <w:rFonts w:cs="B Nazanin"/>
          <w:b/>
          <w:bCs/>
          <w:sz w:val="28"/>
          <w:szCs w:val="28"/>
          <w:rtl/>
          <w:lang w:bidi="fa-IR"/>
        </w:rPr>
      </w:pPr>
      <w:r w:rsidRPr="003053A6">
        <w:rPr>
          <w:rFonts w:cs="B Nazanin"/>
          <w:b/>
          <w:bCs/>
          <w:noProof/>
          <w:sz w:val="28"/>
          <w:szCs w:val="28"/>
          <w:rtl/>
          <w:lang w:bidi="fa-IR"/>
        </w:rPr>
        <w:drawing>
          <wp:inline distT="0" distB="0" distL="0" distR="0" wp14:anchorId="158015AE" wp14:editId="6DCC6729">
            <wp:extent cx="142875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23D972E" w14:textId="77777777" w:rsidR="003053A6" w:rsidRPr="003053A6" w:rsidRDefault="003053A6" w:rsidP="003053A6">
      <w:pPr>
        <w:bidi/>
        <w:spacing w:after="0" w:line="360" w:lineRule="auto"/>
        <w:jc w:val="both"/>
        <w:rPr>
          <w:rFonts w:cs="B Nazanin"/>
          <w:b/>
          <w:bCs/>
          <w:sz w:val="28"/>
          <w:szCs w:val="28"/>
          <w:rtl/>
          <w:lang w:bidi="fa-IR"/>
        </w:rPr>
      </w:pPr>
    </w:p>
    <w:p w14:paraId="1FDDB354" w14:textId="78225F92" w:rsidR="00C3476B" w:rsidRPr="003053A6" w:rsidRDefault="00D5024A" w:rsidP="003053A6">
      <w:pPr>
        <w:bidi/>
        <w:spacing w:after="0" w:line="360" w:lineRule="auto"/>
        <w:jc w:val="center"/>
        <w:rPr>
          <w:rFonts w:cs="B Nazanin"/>
          <w:b/>
          <w:bCs/>
          <w:sz w:val="36"/>
          <w:szCs w:val="36"/>
          <w:rtl/>
          <w:lang w:bidi="fa-IR"/>
        </w:rPr>
      </w:pPr>
      <w:r w:rsidRPr="003053A6">
        <w:rPr>
          <w:rFonts w:cs="B Nazanin" w:hint="cs"/>
          <w:b/>
          <w:bCs/>
          <w:sz w:val="36"/>
          <w:szCs w:val="36"/>
          <w:rtl/>
          <w:lang w:bidi="fa-IR"/>
        </w:rPr>
        <w:t>آیا انگیزه های ور</w:t>
      </w:r>
      <w:r w:rsidR="00DC329C" w:rsidRPr="003053A6">
        <w:rPr>
          <w:rFonts w:cs="B Nazanin" w:hint="cs"/>
          <w:b/>
          <w:bCs/>
          <w:sz w:val="36"/>
          <w:szCs w:val="36"/>
          <w:rtl/>
          <w:lang w:bidi="fa-IR"/>
        </w:rPr>
        <w:t xml:space="preserve">زشی </w:t>
      </w:r>
      <w:r w:rsidR="00CA2A57">
        <w:rPr>
          <w:rFonts w:cs="B Nazanin" w:hint="cs"/>
          <w:b/>
          <w:bCs/>
          <w:sz w:val="36"/>
          <w:szCs w:val="36"/>
          <w:rtl/>
          <w:lang w:bidi="fa-IR"/>
        </w:rPr>
        <w:t>تمرین</w:t>
      </w:r>
      <w:r w:rsidR="00DC329C" w:rsidRPr="003053A6">
        <w:rPr>
          <w:rFonts w:cs="B Nazanin" w:hint="cs"/>
          <w:b/>
          <w:bCs/>
          <w:sz w:val="36"/>
          <w:szCs w:val="36"/>
          <w:rtl/>
          <w:lang w:bidi="fa-IR"/>
        </w:rPr>
        <w:t xml:space="preserve"> الزامی را پیش بینی می ک</w:t>
      </w:r>
      <w:r w:rsidRPr="003053A6">
        <w:rPr>
          <w:rFonts w:cs="B Nazanin" w:hint="cs"/>
          <w:b/>
          <w:bCs/>
          <w:sz w:val="36"/>
          <w:szCs w:val="36"/>
          <w:rtl/>
          <w:lang w:bidi="fa-IR"/>
        </w:rPr>
        <w:t>نند؟</w:t>
      </w:r>
    </w:p>
    <w:p w14:paraId="17355B69" w14:textId="77777777" w:rsidR="00DC329C" w:rsidRPr="003053A6" w:rsidRDefault="00DC329C" w:rsidP="003053A6">
      <w:pPr>
        <w:bidi/>
        <w:spacing w:after="0" w:line="360" w:lineRule="auto"/>
        <w:jc w:val="both"/>
        <w:rPr>
          <w:rFonts w:cs="B Nazanin"/>
          <w:sz w:val="28"/>
          <w:szCs w:val="28"/>
          <w:rtl/>
          <w:lang w:bidi="fa-IR"/>
        </w:rPr>
      </w:pPr>
    </w:p>
    <w:p w14:paraId="75007FF7" w14:textId="77777777" w:rsidR="00E367AE" w:rsidRPr="003053A6" w:rsidRDefault="00E367AE"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چکیده</w:t>
      </w:r>
    </w:p>
    <w:p w14:paraId="2F3A291B" w14:textId="77777777" w:rsidR="00E367AE" w:rsidRDefault="00E367AE"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مطالعات اندکی به بررسی این مسئله پرداخته اند که آیا عواملی که ورزش الزامی را پیش بینی می کنند، در دو جنس مخالف متفاوت هستند؟ 303 شرکت کننده پرسشنامه های ورزش الزامی و دلایل ورزش را پر کردند. تمام متغیرها به میزان قابل توجهی با یکدیگر همبستگی داشتند. با این حال، همبستگی بین ورزش برای تناسب اندام و ورزش الزامی در زنان به میزان چشمگیری بیشتر از مردان بود. در زنان، </w:t>
      </w:r>
      <w:r w:rsidR="000C3315" w:rsidRPr="003053A6">
        <w:rPr>
          <w:rFonts w:cs="B Nazanin" w:hint="cs"/>
          <w:sz w:val="28"/>
          <w:szCs w:val="28"/>
          <w:rtl/>
          <w:lang w:bidi="fa-IR"/>
        </w:rPr>
        <w:t>ورزش الزامی با ورزش با هدف تقویت بدن، تناسب اندام و تقویت ذهن قابل پیش بینی بود؛ در مردان، ورزش الزامی با ورزش با هدف تقویت بدن، تفریح و کسب جذابیت پیش بینی شد. پیامدهای درمان مورد بحث قرار می گیرند.</w:t>
      </w:r>
      <w:r w:rsidR="000C3315" w:rsidRPr="003053A6">
        <w:rPr>
          <w:rFonts w:cs="B Nazanin" w:hint="cs"/>
          <w:color w:val="FF0000"/>
          <w:sz w:val="28"/>
          <w:szCs w:val="28"/>
          <w:rtl/>
          <w:lang w:bidi="fa-IR"/>
        </w:rPr>
        <w:t xml:space="preserve"> </w:t>
      </w:r>
      <w:r w:rsidRPr="003053A6">
        <w:rPr>
          <w:rFonts w:cs="B Nazanin" w:hint="cs"/>
          <w:sz w:val="28"/>
          <w:szCs w:val="28"/>
          <w:rtl/>
          <w:lang w:bidi="fa-IR"/>
        </w:rPr>
        <w:t xml:space="preserve"> </w:t>
      </w:r>
    </w:p>
    <w:p w14:paraId="6547CCBE" w14:textId="77777777" w:rsidR="003053A6" w:rsidRDefault="003053A6" w:rsidP="003053A6">
      <w:pPr>
        <w:bidi/>
        <w:spacing w:after="0" w:line="360" w:lineRule="auto"/>
        <w:jc w:val="both"/>
        <w:rPr>
          <w:rFonts w:cs="B Nazanin"/>
          <w:sz w:val="28"/>
          <w:szCs w:val="28"/>
          <w:rtl/>
          <w:lang w:bidi="fa-IR"/>
        </w:rPr>
      </w:pPr>
    </w:p>
    <w:p w14:paraId="0E86905C" w14:textId="77777777" w:rsidR="003053A6" w:rsidRDefault="003053A6" w:rsidP="003053A6">
      <w:pPr>
        <w:bidi/>
        <w:spacing w:after="0" w:line="360" w:lineRule="auto"/>
        <w:jc w:val="both"/>
        <w:rPr>
          <w:rFonts w:cs="B Nazanin"/>
          <w:sz w:val="28"/>
          <w:szCs w:val="28"/>
          <w:rtl/>
          <w:lang w:bidi="fa-IR"/>
        </w:rPr>
      </w:pPr>
      <w:r w:rsidRPr="003053A6">
        <w:rPr>
          <w:rFonts w:cs="B Nazanin" w:hint="cs"/>
          <w:b/>
          <w:bCs/>
          <w:sz w:val="28"/>
          <w:szCs w:val="28"/>
          <w:rtl/>
          <w:lang w:bidi="fa-IR"/>
        </w:rPr>
        <w:t>کلید واژه ها:</w:t>
      </w:r>
      <w:r>
        <w:rPr>
          <w:rFonts w:cs="B Nazanin" w:hint="cs"/>
          <w:sz w:val="28"/>
          <w:szCs w:val="28"/>
          <w:rtl/>
          <w:lang w:bidi="fa-IR"/>
        </w:rPr>
        <w:t xml:space="preserve"> </w:t>
      </w:r>
      <w:r w:rsidRPr="003053A6">
        <w:rPr>
          <w:rFonts w:cs="B Nazanin"/>
          <w:sz w:val="28"/>
          <w:szCs w:val="28"/>
          <w:rtl/>
          <w:lang w:bidi="fa-IR"/>
        </w:rPr>
        <w:t>دلا</w:t>
      </w:r>
      <w:r w:rsidRPr="003053A6">
        <w:rPr>
          <w:rFonts w:cs="B Nazanin" w:hint="cs"/>
          <w:sz w:val="28"/>
          <w:szCs w:val="28"/>
          <w:rtl/>
          <w:lang w:bidi="fa-IR"/>
        </w:rPr>
        <w:t>ی</w:t>
      </w:r>
      <w:r w:rsidRPr="003053A6">
        <w:rPr>
          <w:rFonts w:cs="B Nazanin" w:hint="eastAsia"/>
          <w:sz w:val="28"/>
          <w:szCs w:val="28"/>
          <w:rtl/>
          <w:lang w:bidi="fa-IR"/>
        </w:rPr>
        <w:t>ل</w:t>
      </w:r>
      <w:r w:rsidRPr="003053A6">
        <w:rPr>
          <w:rFonts w:cs="B Nazanin"/>
          <w:sz w:val="28"/>
          <w:szCs w:val="28"/>
          <w:rtl/>
          <w:lang w:bidi="fa-IR"/>
        </w:rPr>
        <w:t xml:space="preserve"> ورزش</w:t>
      </w:r>
      <w:r>
        <w:rPr>
          <w:rFonts w:cs="B Nazanin" w:hint="cs"/>
          <w:sz w:val="28"/>
          <w:szCs w:val="28"/>
          <w:rtl/>
          <w:lang w:bidi="fa-IR"/>
        </w:rPr>
        <w:t xml:space="preserve">. </w:t>
      </w:r>
      <w:r w:rsidRPr="003053A6">
        <w:rPr>
          <w:rFonts w:cs="B Nazanin"/>
          <w:sz w:val="28"/>
          <w:szCs w:val="28"/>
          <w:rtl/>
          <w:lang w:bidi="fa-IR"/>
        </w:rPr>
        <w:t>ورزش اجبار</w:t>
      </w:r>
      <w:r w:rsidRPr="003053A6">
        <w:rPr>
          <w:rFonts w:cs="B Nazanin" w:hint="cs"/>
          <w:sz w:val="28"/>
          <w:szCs w:val="28"/>
          <w:rtl/>
          <w:lang w:bidi="fa-IR"/>
        </w:rPr>
        <w:t>ی</w:t>
      </w:r>
      <w:r>
        <w:rPr>
          <w:rFonts w:cs="B Nazanin" w:hint="cs"/>
          <w:sz w:val="28"/>
          <w:szCs w:val="28"/>
          <w:rtl/>
          <w:lang w:bidi="fa-IR"/>
        </w:rPr>
        <w:t xml:space="preserve">. </w:t>
      </w:r>
      <w:r w:rsidRPr="003053A6">
        <w:rPr>
          <w:rFonts w:cs="B Nazanin"/>
          <w:sz w:val="28"/>
          <w:szCs w:val="28"/>
          <w:rtl/>
          <w:lang w:bidi="fa-IR"/>
        </w:rPr>
        <w:t>تفاوت ها</w:t>
      </w:r>
      <w:r w:rsidRPr="003053A6">
        <w:rPr>
          <w:rFonts w:cs="B Nazanin" w:hint="cs"/>
          <w:sz w:val="28"/>
          <w:szCs w:val="28"/>
          <w:rtl/>
          <w:lang w:bidi="fa-IR"/>
        </w:rPr>
        <w:t>ی</w:t>
      </w:r>
      <w:r w:rsidRPr="003053A6">
        <w:rPr>
          <w:rFonts w:cs="B Nazanin"/>
          <w:sz w:val="28"/>
          <w:szCs w:val="28"/>
          <w:rtl/>
          <w:lang w:bidi="fa-IR"/>
        </w:rPr>
        <w:t xml:space="preserve"> جنس</w:t>
      </w:r>
      <w:r w:rsidRPr="003053A6">
        <w:rPr>
          <w:rFonts w:cs="B Nazanin" w:hint="cs"/>
          <w:sz w:val="28"/>
          <w:szCs w:val="28"/>
          <w:rtl/>
          <w:lang w:bidi="fa-IR"/>
        </w:rPr>
        <w:t>ی</w:t>
      </w:r>
      <w:r w:rsidRPr="003053A6">
        <w:rPr>
          <w:rFonts w:cs="B Nazanin" w:hint="eastAsia"/>
          <w:sz w:val="28"/>
          <w:szCs w:val="28"/>
          <w:rtl/>
          <w:lang w:bidi="fa-IR"/>
        </w:rPr>
        <w:t>ت</w:t>
      </w:r>
      <w:r w:rsidRPr="003053A6">
        <w:rPr>
          <w:rFonts w:cs="B Nazanin" w:hint="cs"/>
          <w:sz w:val="28"/>
          <w:szCs w:val="28"/>
          <w:rtl/>
          <w:lang w:bidi="fa-IR"/>
        </w:rPr>
        <w:t>ی</w:t>
      </w:r>
      <w:r>
        <w:rPr>
          <w:rFonts w:cs="B Nazanin" w:hint="cs"/>
          <w:sz w:val="28"/>
          <w:szCs w:val="28"/>
          <w:rtl/>
          <w:lang w:bidi="fa-IR"/>
        </w:rPr>
        <w:t xml:space="preserve">    </w:t>
      </w:r>
    </w:p>
    <w:p w14:paraId="5B5CCC26" w14:textId="77777777" w:rsidR="003053A6" w:rsidRPr="003053A6" w:rsidRDefault="003053A6" w:rsidP="003053A6">
      <w:pPr>
        <w:bidi/>
        <w:spacing w:after="0" w:line="360" w:lineRule="auto"/>
        <w:jc w:val="both"/>
        <w:rPr>
          <w:rFonts w:cs="B Nazanin"/>
          <w:sz w:val="28"/>
          <w:szCs w:val="28"/>
          <w:rtl/>
          <w:lang w:bidi="fa-IR"/>
        </w:rPr>
      </w:pPr>
    </w:p>
    <w:p w14:paraId="1210A686" w14:textId="77777777" w:rsidR="000C3315" w:rsidRPr="003053A6" w:rsidRDefault="003053A6" w:rsidP="003053A6">
      <w:pPr>
        <w:bidi/>
        <w:spacing w:after="0" w:line="360" w:lineRule="auto"/>
        <w:jc w:val="both"/>
        <w:rPr>
          <w:rFonts w:cs="B Nazanin"/>
          <w:b/>
          <w:bCs/>
          <w:sz w:val="28"/>
          <w:szCs w:val="28"/>
          <w:rtl/>
          <w:lang w:bidi="fa-IR"/>
        </w:rPr>
      </w:pPr>
      <w:r>
        <w:rPr>
          <w:rFonts w:cs="B Nazanin" w:hint="cs"/>
          <w:b/>
          <w:bCs/>
          <w:sz w:val="28"/>
          <w:szCs w:val="28"/>
          <w:rtl/>
          <w:lang w:bidi="fa-IR"/>
        </w:rPr>
        <w:t xml:space="preserve">1. </w:t>
      </w:r>
      <w:r w:rsidR="000C3315" w:rsidRPr="003053A6">
        <w:rPr>
          <w:rFonts w:cs="B Nazanin" w:hint="cs"/>
          <w:b/>
          <w:bCs/>
          <w:sz w:val="28"/>
          <w:szCs w:val="28"/>
          <w:rtl/>
          <w:lang w:bidi="fa-IR"/>
        </w:rPr>
        <w:t>مقدمه</w:t>
      </w:r>
    </w:p>
    <w:p w14:paraId="23D1188E" w14:textId="77777777" w:rsidR="000C3315" w:rsidRDefault="000C3315"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ورزش الزامی دارای سه بُعد می باشد: 1) </w:t>
      </w:r>
      <w:r w:rsidR="0096180C" w:rsidRPr="003053A6">
        <w:rPr>
          <w:rFonts w:cs="B Nazanin" w:hint="cs"/>
          <w:sz w:val="28"/>
          <w:szCs w:val="28"/>
          <w:rtl/>
          <w:lang w:bidi="fa-IR"/>
        </w:rPr>
        <w:t>تکرار و شدت تمرینات، 2) حساسیت منفی (مثلا، احساس گناه به خاطر از دست دادن یک جلسه تمرین) و 3) مشغله ذهنی در مورد تمرینات (مثلا، برنامه ریزی در مورد روز تمرین) (آکارد، بِرم و استفان</w:t>
      </w:r>
      <w:r w:rsidR="0096180C" w:rsidRPr="003053A6">
        <w:rPr>
          <w:rStyle w:val="FootnoteReference"/>
          <w:rFonts w:cs="B Nazanin"/>
          <w:sz w:val="28"/>
          <w:szCs w:val="28"/>
          <w:rtl/>
          <w:lang w:bidi="fa-IR"/>
        </w:rPr>
        <w:footnoteReference w:id="1"/>
      </w:r>
      <w:r w:rsidR="0096180C" w:rsidRPr="003053A6">
        <w:rPr>
          <w:rFonts w:cs="B Nazanin" w:hint="cs"/>
          <w:sz w:val="28"/>
          <w:szCs w:val="28"/>
          <w:rtl/>
          <w:lang w:bidi="fa-IR"/>
        </w:rPr>
        <w:t>، 2002؛ استفان و بِرم، 1999). با در نظر گرفتن تکرار ورزش الز</w:t>
      </w:r>
      <w:r w:rsidR="00B36909" w:rsidRPr="003053A6">
        <w:rPr>
          <w:rFonts w:cs="B Nazanin" w:hint="cs"/>
          <w:sz w:val="28"/>
          <w:szCs w:val="28"/>
          <w:rtl/>
          <w:lang w:bidi="fa-IR"/>
        </w:rPr>
        <w:t>امی در میان دانشجویان (دی یانگ و</w:t>
      </w:r>
      <w:r w:rsidR="0096180C" w:rsidRPr="003053A6">
        <w:rPr>
          <w:rFonts w:cs="B Nazanin" w:hint="cs"/>
          <w:sz w:val="28"/>
          <w:szCs w:val="28"/>
          <w:rtl/>
          <w:lang w:bidi="fa-IR"/>
        </w:rPr>
        <w:t xml:space="preserve"> اندرسون، 2010؛ گارمن، هایدوک، کریدر و هودل، 2004) و پیامدهای متعدد فیزیکی و روانی آن </w:t>
      </w:r>
      <w:r w:rsidR="00B36909" w:rsidRPr="003053A6">
        <w:rPr>
          <w:rFonts w:cs="B Nazanin" w:hint="cs"/>
          <w:sz w:val="28"/>
          <w:szCs w:val="28"/>
          <w:rtl/>
          <w:lang w:bidi="fa-IR"/>
        </w:rPr>
        <w:t xml:space="preserve">(آکارد و </w:t>
      </w:r>
      <w:r w:rsidR="00B36909" w:rsidRPr="003053A6">
        <w:rPr>
          <w:rFonts w:cs="B Nazanin" w:hint="cs"/>
          <w:sz w:val="28"/>
          <w:szCs w:val="28"/>
          <w:rtl/>
          <w:lang w:bidi="fa-IR"/>
        </w:rPr>
        <w:lastRenderedPageBreak/>
        <w:t>همکارانش، 2002؛ آدامز و کیربی</w:t>
      </w:r>
      <w:r w:rsidR="00B36909" w:rsidRPr="003053A6">
        <w:rPr>
          <w:rStyle w:val="FootnoteReference"/>
          <w:rFonts w:cs="B Nazanin"/>
          <w:sz w:val="28"/>
          <w:szCs w:val="28"/>
          <w:rtl/>
          <w:lang w:bidi="fa-IR"/>
        </w:rPr>
        <w:footnoteReference w:id="2"/>
      </w:r>
      <w:r w:rsidR="00B36909" w:rsidRPr="003053A6">
        <w:rPr>
          <w:rFonts w:cs="B Nazanin" w:hint="cs"/>
          <w:sz w:val="28"/>
          <w:szCs w:val="28"/>
          <w:rtl/>
          <w:lang w:bidi="fa-IR"/>
        </w:rPr>
        <w:t xml:space="preserve">، 2001؛ بِرم و استفان، 1998؛ استفان و برم، 1999)، </w:t>
      </w:r>
      <w:r w:rsidR="00E31306" w:rsidRPr="003053A6">
        <w:rPr>
          <w:rFonts w:cs="B Nazanin" w:hint="cs"/>
          <w:sz w:val="28"/>
          <w:szCs w:val="28"/>
          <w:rtl/>
          <w:lang w:bidi="fa-IR"/>
        </w:rPr>
        <w:t xml:space="preserve">لازم است تا عواملی که ورزش الزامی را پیش بینی می کند را مشخص نماییم. متغیر ما که قابل پیش بینی به نظر می رسد، دلایل فرد برای ورزش و تمرین است. </w:t>
      </w:r>
      <w:r w:rsidR="008553A8" w:rsidRPr="003053A6">
        <w:rPr>
          <w:rFonts w:cs="B Nazanin" w:hint="cs"/>
          <w:sz w:val="28"/>
          <w:szCs w:val="28"/>
          <w:rtl/>
          <w:lang w:bidi="fa-IR"/>
        </w:rPr>
        <w:t>در تحقیقی از زنان دانشگاهی مشخص شد که ورزش برای کنترل وزن/ وضعیت ظاهری با ورزش الزامی همبستگی مثبت داشت (تام و اسپلاج</w:t>
      </w:r>
      <w:r w:rsidR="008553A8" w:rsidRPr="003053A6">
        <w:rPr>
          <w:rStyle w:val="FootnoteReference"/>
          <w:rFonts w:cs="B Nazanin"/>
          <w:sz w:val="28"/>
          <w:szCs w:val="28"/>
          <w:rtl/>
          <w:lang w:bidi="fa-IR"/>
        </w:rPr>
        <w:footnoteReference w:id="3"/>
      </w:r>
      <w:r w:rsidR="008553A8" w:rsidRPr="003053A6">
        <w:rPr>
          <w:rFonts w:cs="B Nazanin" w:hint="cs"/>
          <w:sz w:val="28"/>
          <w:szCs w:val="28"/>
          <w:rtl/>
          <w:lang w:bidi="fa-IR"/>
        </w:rPr>
        <w:t xml:space="preserve">، 2007). با این حال، هیچ تحقیق دیگری به بررسی این مسئله نپرداخته است. </w:t>
      </w:r>
    </w:p>
    <w:p w14:paraId="27A7CA11" w14:textId="77777777" w:rsidR="003053A6" w:rsidRPr="003053A6" w:rsidRDefault="003053A6" w:rsidP="003053A6">
      <w:pPr>
        <w:bidi/>
        <w:spacing w:after="0" w:line="360" w:lineRule="auto"/>
        <w:jc w:val="both"/>
        <w:rPr>
          <w:rFonts w:cs="B Nazanin"/>
          <w:sz w:val="28"/>
          <w:szCs w:val="28"/>
          <w:rtl/>
          <w:lang w:bidi="fa-IR"/>
        </w:rPr>
      </w:pPr>
    </w:p>
    <w:p w14:paraId="6AFFB6C7" w14:textId="77777777" w:rsidR="008553A8" w:rsidRPr="003053A6" w:rsidRDefault="008553A8"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1.1 مطالعه حاضر</w:t>
      </w:r>
    </w:p>
    <w:p w14:paraId="6F13F0DE" w14:textId="77777777" w:rsidR="001A6728" w:rsidRPr="003053A6" w:rsidRDefault="008553A8" w:rsidP="003053A6">
      <w:pPr>
        <w:bidi/>
        <w:spacing w:after="0" w:line="360" w:lineRule="auto"/>
        <w:jc w:val="both"/>
        <w:rPr>
          <w:rFonts w:cs="B Nazanin"/>
          <w:sz w:val="28"/>
          <w:szCs w:val="28"/>
          <w:rtl/>
          <w:lang w:bidi="fa-IR"/>
        </w:rPr>
      </w:pPr>
      <w:r w:rsidRPr="003053A6">
        <w:rPr>
          <w:rFonts w:cs="B Nazanin" w:hint="cs"/>
          <w:sz w:val="28"/>
          <w:szCs w:val="28"/>
          <w:rtl/>
          <w:lang w:bidi="fa-IR"/>
        </w:rPr>
        <w:t>با وجودی که این تحقیق چندین عامل پیش بینی کننده را برای ورزش الزامی مشخص کرده است (هال، کِر، کوزوب و فینی</w:t>
      </w:r>
      <w:r w:rsidRPr="003053A6">
        <w:rPr>
          <w:rStyle w:val="FootnoteReference"/>
          <w:rFonts w:cs="B Nazanin"/>
          <w:sz w:val="28"/>
          <w:szCs w:val="28"/>
          <w:rtl/>
          <w:lang w:bidi="fa-IR"/>
        </w:rPr>
        <w:footnoteReference w:id="4"/>
      </w:r>
      <w:r w:rsidRPr="003053A6">
        <w:rPr>
          <w:rFonts w:cs="B Nazanin" w:hint="cs"/>
          <w:sz w:val="28"/>
          <w:szCs w:val="28"/>
          <w:rtl/>
          <w:lang w:bidi="fa-IR"/>
        </w:rPr>
        <w:t>، 2007؛ راجرز، هال، بلانچارد و مونرو</w:t>
      </w:r>
      <w:r w:rsidR="00491F87" w:rsidRPr="003053A6">
        <w:rPr>
          <w:rStyle w:val="FootnoteReference"/>
          <w:rFonts w:cs="B Nazanin"/>
          <w:sz w:val="28"/>
          <w:szCs w:val="28"/>
          <w:rtl/>
          <w:lang w:bidi="fa-IR"/>
        </w:rPr>
        <w:footnoteReference w:id="5"/>
      </w:r>
      <w:r w:rsidRPr="003053A6">
        <w:rPr>
          <w:rFonts w:cs="B Nazanin" w:hint="cs"/>
          <w:sz w:val="28"/>
          <w:szCs w:val="28"/>
          <w:rtl/>
          <w:lang w:bidi="fa-IR"/>
        </w:rPr>
        <w:t xml:space="preserve">، 2001؛ تام و اسپلاج، 2007)، هیچ تحقیقی </w:t>
      </w:r>
      <w:r w:rsidR="00491F87" w:rsidRPr="003053A6">
        <w:rPr>
          <w:rFonts w:cs="B Nazanin" w:hint="cs"/>
          <w:sz w:val="28"/>
          <w:szCs w:val="28"/>
          <w:rtl/>
          <w:lang w:bidi="fa-IR"/>
        </w:rPr>
        <w:t xml:space="preserve">انجام نشده است که نشان دهد آیا دلایل ورزش بر رفتار ورزش الزامی اثر می گذارد یا نه. علاوه بر این، </w:t>
      </w:r>
      <w:r w:rsidR="00DF0F45" w:rsidRPr="003053A6">
        <w:rPr>
          <w:rFonts w:cs="B Nazanin" w:hint="cs"/>
          <w:sz w:val="28"/>
          <w:szCs w:val="28"/>
          <w:rtl/>
          <w:lang w:bidi="fa-IR"/>
        </w:rPr>
        <w:t>با وجودی که تحقیقات انجام شده تفاوت هایی جنسیتی را در دلایل انجام تمرینات ورزشی یافته است (فرنهام، بدمین، و اسنید</w:t>
      </w:r>
      <w:r w:rsidR="00DF0F45" w:rsidRPr="003053A6">
        <w:rPr>
          <w:rStyle w:val="FootnoteReference"/>
          <w:rFonts w:cs="B Nazanin"/>
          <w:sz w:val="28"/>
          <w:szCs w:val="28"/>
          <w:rtl/>
          <w:lang w:bidi="fa-IR"/>
        </w:rPr>
        <w:footnoteReference w:id="6"/>
      </w:r>
      <w:r w:rsidR="00DF0F45" w:rsidRPr="003053A6">
        <w:rPr>
          <w:rFonts w:cs="B Nazanin" w:hint="cs"/>
          <w:sz w:val="28"/>
          <w:szCs w:val="28"/>
          <w:rtl/>
          <w:lang w:bidi="fa-IR"/>
        </w:rPr>
        <w:t>، 2002؛ مورسیا، گالیندو و پاردو</w:t>
      </w:r>
      <w:r w:rsidR="00A67C22" w:rsidRPr="003053A6">
        <w:rPr>
          <w:rStyle w:val="FootnoteReference"/>
          <w:rFonts w:cs="B Nazanin"/>
          <w:sz w:val="28"/>
          <w:szCs w:val="28"/>
          <w:rtl/>
          <w:lang w:bidi="fa-IR"/>
        </w:rPr>
        <w:footnoteReference w:id="7"/>
      </w:r>
      <w:r w:rsidR="00DF0F45" w:rsidRPr="003053A6">
        <w:rPr>
          <w:rFonts w:cs="B Nazanin" w:hint="cs"/>
          <w:sz w:val="28"/>
          <w:szCs w:val="28"/>
          <w:rtl/>
          <w:lang w:bidi="fa-IR"/>
        </w:rPr>
        <w:t>، 2008؛ ون نیکرک</w:t>
      </w:r>
      <w:r w:rsidR="00A67C22" w:rsidRPr="003053A6">
        <w:rPr>
          <w:rStyle w:val="FootnoteReference"/>
          <w:rFonts w:cs="B Nazanin"/>
          <w:sz w:val="28"/>
          <w:szCs w:val="28"/>
          <w:rtl/>
          <w:lang w:bidi="fa-IR"/>
        </w:rPr>
        <w:footnoteReference w:id="8"/>
      </w:r>
      <w:r w:rsidR="00DF0F45" w:rsidRPr="003053A6">
        <w:rPr>
          <w:rFonts w:cs="B Nazanin" w:hint="cs"/>
          <w:sz w:val="28"/>
          <w:szCs w:val="28"/>
          <w:rtl/>
          <w:lang w:bidi="fa-IR"/>
        </w:rPr>
        <w:t xml:space="preserve">، 2010)، </w:t>
      </w:r>
      <w:r w:rsidR="00A67C22" w:rsidRPr="003053A6">
        <w:rPr>
          <w:rFonts w:cs="B Nazanin" w:hint="cs"/>
          <w:sz w:val="28"/>
          <w:szCs w:val="28"/>
          <w:rtl/>
          <w:lang w:bidi="fa-IR"/>
        </w:rPr>
        <w:t xml:space="preserve">هیچ تحقیقی به بررسی تفاوت های جنسیتی در دلایل مربوط به ورزش الزامی نپرداخته است. </w:t>
      </w:r>
    </w:p>
    <w:p w14:paraId="6B0C6929" w14:textId="77777777" w:rsidR="008553A8" w:rsidRDefault="00A67C22"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هدف از مطالعه حاضر گسترش تحقیقات قبلی در مورد عواملی است که </w:t>
      </w:r>
      <w:r w:rsidR="00D614A4" w:rsidRPr="003053A6">
        <w:rPr>
          <w:rFonts w:cs="B Nazanin" w:hint="cs"/>
          <w:sz w:val="28"/>
          <w:szCs w:val="28"/>
          <w:rtl/>
          <w:lang w:bidi="fa-IR"/>
        </w:rPr>
        <w:t xml:space="preserve">ممکن است پیش بینی کننده ورزش الزامی، به خصوص در ارتباط بین ورزش الزامی و دلایل انجام تمرینات ورزشی (کنترل وزن، تقویت بدن، تناسب بدن، روحیه، سلامتی، جذابیت، و تفریح)، باشد. بر اساس تفاوت های جنسیتی </w:t>
      </w:r>
      <w:r w:rsidR="0053524C" w:rsidRPr="003053A6">
        <w:rPr>
          <w:rFonts w:cs="B Nazanin" w:hint="cs"/>
          <w:sz w:val="28"/>
          <w:szCs w:val="28"/>
          <w:rtl/>
          <w:lang w:bidi="fa-IR"/>
        </w:rPr>
        <w:t xml:space="preserve">در دلایل انجام تمرینات ورزشی، چنین فرض شده است که </w:t>
      </w:r>
      <w:r w:rsidR="00EC7A87" w:rsidRPr="003053A6">
        <w:rPr>
          <w:rFonts w:cs="B Nazanin" w:hint="cs"/>
          <w:sz w:val="28"/>
          <w:szCs w:val="28"/>
          <w:rtl/>
          <w:lang w:bidi="fa-IR"/>
        </w:rPr>
        <w:t>دلایل رفتارهای ورزش الزامی در میان دو جنسیت</w:t>
      </w:r>
      <w:r w:rsidR="0053524C" w:rsidRPr="003053A6">
        <w:rPr>
          <w:rFonts w:cs="B Nazanin" w:hint="cs"/>
          <w:sz w:val="28"/>
          <w:szCs w:val="28"/>
          <w:rtl/>
          <w:lang w:bidi="fa-IR"/>
        </w:rPr>
        <w:t xml:space="preserve"> </w:t>
      </w:r>
      <w:r w:rsidR="00EC7A87" w:rsidRPr="003053A6">
        <w:rPr>
          <w:rFonts w:cs="B Nazanin" w:hint="cs"/>
          <w:sz w:val="28"/>
          <w:szCs w:val="28"/>
          <w:rtl/>
          <w:lang w:bidi="fa-IR"/>
        </w:rPr>
        <w:t>متفاوت است</w:t>
      </w:r>
      <w:r w:rsidR="00ED3744" w:rsidRPr="003053A6">
        <w:rPr>
          <w:rFonts w:cs="B Nazanin" w:hint="cs"/>
          <w:sz w:val="28"/>
          <w:szCs w:val="28"/>
          <w:rtl/>
          <w:lang w:bidi="fa-IR"/>
        </w:rPr>
        <w:t xml:space="preserve"> که در این میان، زنان بیشتر با </w:t>
      </w:r>
      <w:r w:rsidR="00ED3744" w:rsidRPr="003053A6">
        <w:rPr>
          <w:rFonts w:cs="B Nazanin" w:hint="cs"/>
          <w:sz w:val="28"/>
          <w:szCs w:val="28"/>
          <w:rtl/>
          <w:lang w:bidi="fa-IR"/>
        </w:rPr>
        <w:lastRenderedPageBreak/>
        <w:t xml:space="preserve">انگیزه های ظاهری و مردان بیشتر با انگیزه سلامتی و تناسب اندام به انجام تمرینات ورزشی می پردازند (فرنام و همکارانش، 2002). </w:t>
      </w:r>
    </w:p>
    <w:p w14:paraId="562B351E" w14:textId="77777777" w:rsidR="003053A6" w:rsidRPr="003053A6" w:rsidRDefault="003053A6" w:rsidP="003053A6">
      <w:pPr>
        <w:bidi/>
        <w:spacing w:after="0" w:line="360" w:lineRule="auto"/>
        <w:jc w:val="both"/>
        <w:rPr>
          <w:rFonts w:cs="B Nazanin"/>
          <w:sz w:val="28"/>
          <w:szCs w:val="28"/>
          <w:rtl/>
          <w:lang w:bidi="fa-IR"/>
        </w:rPr>
      </w:pPr>
    </w:p>
    <w:p w14:paraId="52A1970A" w14:textId="77777777" w:rsidR="00ED3744" w:rsidRPr="003053A6" w:rsidRDefault="003053A6" w:rsidP="003053A6">
      <w:pPr>
        <w:bidi/>
        <w:spacing w:after="0" w:line="360" w:lineRule="auto"/>
        <w:jc w:val="both"/>
        <w:rPr>
          <w:rFonts w:cs="B Nazanin"/>
          <w:b/>
          <w:bCs/>
          <w:sz w:val="28"/>
          <w:szCs w:val="28"/>
          <w:rtl/>
          <w:lang w:bidi="fa-IR"/>
        </w:rPr>
      </w:pPr>
      <w:r>
        <w:rPr>
          <w:rFonts w:cs="B Nazanin" w:hint="cs"/>
          <w:b/>
          <w:bCs/>
          <w:sz w:val="28"/>
          <w:szCs w:val="28"/>
          <w:rtl/>
          <w:lang w:bidi="fa-IR"/>
        </w:rPr>
        <w:t>2.</w:t>
      </w:r>
      <w:r w:rsidR="00ED3744" w:rsidRPr="003053A6">
        <w:rPr>
          <w:rFonts w:cs="B Nazanin" w:hint="cs"/>
          <w:b/>
          <w:bCs/>
          <w:sz w:val="28"/>
          <w:szCs w:val="28"/>
          <w:rtl/>
          <w:lang w:bidi="fa-IR"/>
        </w:rPr>
        <w:t xml:space="preserve"> شیوه </w:t>
      </w:r>
    </w:p>
    <w:p w14:paraId="1C2C3DFE" w14:textId="77777777" w:rsidR="00ED3744" w:rsidRPr="003053A6" w:rsidRDefault="00ED3744"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2.1 شرکت کنندگان</w:t>
      </w:r>
    </w:p>
    <w:p w14:paraId="6852E734" w14:textId="77777777" w:rsidR="00ED3744" w:rsidRDefault="00ED3744"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شرکت کنندگان </w:t>
      </w:r>
      <w:r w:rsidR="00D93E8F" w:rsidRPr="003053A6">
        <w:rPr>
          <w:rFonts w:cs="B Nazanin" w:hint="cs"/>
          <w:sz w:val="28"/>
          <w:szCs w:val="28"/>
          <w:rtl/>
          <w:lang w:bidi="fa-IR"/>
        </w:rPr>
        <w:t xml:space="preserve">در این تحقیق از کلاس های روانشناسی عمومی بودند (155 زن و 151 مرد، 80.5% سفیدپوست، 3.4% آفریاقیی- آمریکایی، 8.1 % آسیایی، 1.3 % از جزایر اقیانوس آرام، 0.7% بومی آمریکاو 2.7 % سایرین). پس از تکمیل بررسی، به هر دانشجو به خاطر مشارکتش اعتبار کلاسی اهدا می شود. پیش از شروع جمع آوری اطلاعات، هیئت بازبینی مؤسسه این بررسی را تأیید نمود. </w:t>
      </w:r>
    </w:p>
    <w:p w14:paraId="4F7C9CFE" w14:textId="77777777" w:rsidR="003053A6" w:rsidRPr="003053A6" w:rsidRDefault="003053A6" w:rsidP="003053A6">
      <w:pPr>
        <w:bidi/>
        <w:spacing w:after="0" w:line="360" w:lineRule="auto"/>
        <w:jc w:val="both"/>
        <w:rPr>
          <w:rFonts w:cs="B Nazanin"/>
          <w:sz w:val="28"/>
          <w:szCs w:val="28"/>
          <w:rtl/>
          <w:lang w:bidi="fa-IR"/>
        </w:rPr>
      </w:pPr>
    </w:p>
    <w:p w14:paraId="7A9F93B6" w14:textId="77777777" w:rsidR="00576F0A" w:rsidRPr="003053A6" w:rsidRDefault="00576F0A" w:rsidP="003053A6">
      <w:pPr>
        <w:bidi/>
        <w:spacing w:after="0" w:line="360" w:lineRule="auto"/>
        <w:jc w:val="both"/>
        <w:rPr>
          <w:rFonts w:cs="B Nazanin"/>
          <w:sz w:val="28"/>
          <w:szCs w:val="28"/>
          <w:rtl/>
          <w:lang w:bidi="fa-IR"/>
        </w:rPr>
      </w:pPr>
      <w:r w:rsidRPr="003053A6">
        <w:rPr>
          <w:rFonts w:cs="B Nazanin" w:hint="cs"/>
          <w:b/>
          <w:bCs/>
          <w:sz w:val="28"/>
          <w:szCs w:val="28"/>
          <w:rtl/>
          <w:lang w:bidi="fa-IR"/>
        </w:rPr>
        <w:t>2.2 ارزیابی ها</w:t>
      </w:r>
      <w:r w:rsidRPr="003053A6">
        <w:rPr>
          <w:rFonts w:cs="B Nazanin" w:hint="cs"/>
          <w:sz w:val="28"/>
          <w:szCs w:val="28"/>
          <w:rtl/>
          <w:lang w:bidi="fa-IR"/>
        </w:rPr>
        <w:t xml:space="preserve"> </w:t>
      </w:r>
    </w:p>
    <w:p w14:paraId="56F2AC58" w14:textId="77777777" w:rsidR="00576F0A" w:rsidRPr="003053A6" w:rsidRDefault="00576F0A"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 xml:space="preserve">2.2.1 پرسشنامه ورزش الزامی </w:t>
      </w:r>
    </w:p>
    <w:p w14:paraId="36CA964B" w14:textId="77777777" w:rsidR="00576F0A" w:rsidRDefault="00576F0A" w:rsidP="003053A6">
      <w:pPr>
        <w:bidi/>
        <w:spacing w:after="0" w:line="360" w:lineRule="auto"/>
        <w:jc w:val="both"/>
        <w:rPr>
          <w:rFonts w:cs="B Nazanin"/>
          <w:sz w:val="28"/>
          <w:szCs w:val="28"/>
          <w:rtl/>
          <w:lang w:bidi="fa-IR"/>
        </w:rPr>
      </w:pPr>
      <w:r w:rsidRPr="003053A6">
        <w:rPr>
          <w:rFonts w:cs="B Nazanin" w:hint="cs"/>
          <w:sz w:val="28"/>
          <w:szCs w:val="28"/>
          <w:rtl/>
          <w:lang w:bidi="fa-IR"/>
        </w:rPr>
        <w:t>پرسشنامه ای متشکل از 20 سئوال هر سه مؤلفه ورزش الزامی را ارزیابی می کند (پاسمن و تامسون</w:t>
      </w:r>
      <w:r w:rsidRPr="003053A6">
        <w:rPr>
          <w:rStyle w:val="FootnoteReference"/>
          <w:rFonts w:cs="B Nazanin"/>
          <w:sz w:val="28"/>
          <w:szCs w:val="28"/>
          <w:rtl/>
          <w:lang w:bidi="fa-IR"/>
        </w:rPr>
        <w:footnoteReference w:id="9"/>
      </w:r>
      <w:r w:rsidRPr="003053A6">
        <w:rPr>
          <w:rFonts w:cs="B Nazanin" w:hint="cs"/>
          <w:sz w:val="28"/>
          <w:szCs w:val="28"/>
          <w:rtl/>
          <w:lang w:bidi="fa-IR"/>
        </w:rPr>
        <w:t>، 1988). موارد (مثل "به صورت روزانه در تمرینات فیزیکی شرکت می کنم"، "</w:t>
      </w:r>
      <w:r w:rsidR="00670D0E" w:rsidRPr="003053A6">
        <w:rPr>
          <w:rFonts w:cs="B Nazanin" w:hint="cs"/>
          <w:sz w:val="28"/>
          <w:szCs w:val="28"/>
          <w:rtl/>
          <w:lang w:bidi="fa-IR"/>
        </w:rPr>
        <w:t>زمانی که توسط پزشک یا دوستی به من توصیه شده، ورزش کرده ام") بر اساس مقیاس لیکرت</w:t>
      </w:r>
      <w:r w:rsidR="00670D0E" w:rsidRPr="003053A6">
        <w:rPr>
          <w:rStyle w:val="FootnoteReference"/>
          <w:rFonts w:cs="B Nazanin"/>
          <w:sz w:val="28"/>
          <w:szCs w:val="28"/>
          <w:rtl/>
          <w:lang w:bidi="fa-IR"/>
        </w:rPr>
        <w:footnoteReference w:id="10"/>
      </w:r>
      <w:r w:rsidR="00670D0E" w:rsidRPr="003053A6">
        <w:rPr>
          <w:rFonts w:cs="B Nazanin" w:hint="cs"/>
          <w:sz w:val="28"/>
          <w:szCs w:val="28"/>
          <w:rtl/>
          <w:lang w:bidi="fa-IR"/>
        </w:rPr>
        <w:t xml:space="preserve"> و با جواب های 1= هرگز، 2= گاهی، 3= معمولا، 4= همیشه ارزیابی شدند. امتیازات بالاتر نشان دهنده رفتارهای ورزش الزامی بیشتراست (</w:t>
      </w:r>
      <w:r w:rsidR="00670D0E" w:rsidRPr="003053A6">
        <w:rPr>
          <w:rFonts w:cs="B Nazanin"/>
          <w:sz w:val="28"/>
          <w:szCs w:val="28"/>
          <w:lang w:bidi="fa-IR"/>
        </w:rPr>
        <w:t>α = .88</w:t>
      </w:r>
      <w:r w:rsidR="00670D0E" w:rsidRPr="003053A6">
        <w:rPr>
          <w:rFonts w:cs="B Nazanin" w:hint="cs"/>
          <w:sz w:val="28"/>
          <w:szCs w:val="28"/>
          <w:rtl/>
          <w:lang w:bidi="fa-IR"/>
        </w:rPr>
        <w:t xml:space="preserve">). </w:t>
      </w:r>
    </w:p>
    <w:p w14:paraId="14F48B6C" w14:textId="77777777" w:rsidR="003053A6" w:rsidRDefault="003053A6" w:rsidP="003053A6">
      <w:pPr>
        <w:bidi/>
        <w:spacing w:after="0" w:line="360" w:lineRule="auto"/>
        <w:jc w:val="both"/>
        <w:rPr>
          <w:rFonts w:cs="B Nazanin"/>
          <w:sz w:val="28"/>
          <w:szCs w:val="28"/>
          <w:rtl/>
          <w:lang w:bidi="fa-IR"/>
        </w:rPr>
      </w:pPr>
    </w:p>
    <w:p w14:paraId="04956F5A" w14:textId="77777777" w:rsidR="003053A6" w:rsidRDefault="003053A6" w:rsidP="003053A6">
      <w:pPr>
        <w:bidi/>
        <w:spacing w:after="0" w:line="360" w:lineRule="auto"/>
        <w:jc w:val="both"/>
        <w:rPr>
          <w:rFonts w:cs="B Nazanin"/>
          <w:sz w:val="28"/>
          <w:szCs w:val="28"/>
          <w:rtl/>
          <w:lang w:bidi="fa-IR"/>
        </w:rPr>
      </w:pPr>
    </w:p>
    <w:p w14:paraId="73DD7D40" w14:textId="77777777" w:rsidR="003053A6" w:rsidRDefault="003053A6" w:rsidP="003053A6">
      <w:pPr>
        <w:bidi/>
        <w:spacing w:after="0" w:line="360" w:lineRule="auto"/>
        <w:jc w:val="both"/>
        <w:rPr>
          <w:rFonts w:cs="B Nazanin"/>
          <w:sz w:val="28"/>
          <w:szCs w:val="28"/>
          <w:rtl/>
          <w:lang w:bidi="fa-IR"/>
        </w:rPr>
      </w:pPr>
    </w:p>
    <w:p w14:paraId="131AEAE0" w14:textId="77777777" w:rsidR="003053A6" w:rsidRPr="003053A6" w:rsidRDefault="003053A6" w:rsidP="003053A6">
      <w:pPr>
        <w:bidi/>
        <w:spacing w:after="0" w:line="360" w:lineRule="auto"/>
        <w:jc w:val="both"/>
        <w:rPr>
          <w:rFonts w:cs="B Nazanin"/>
          <w:sz w:val="28"/>
          <w:szCs w:val="28"/>
          <w:rtl/>
          <w:lang w:bidi="fa-IR"/>
        </w:rPr>
      </w:pPr>
    </w:p>
    <w:p w14:paraId="0AB15923" w14:textId="77777777" w:rsidR="00670D0E" w:rsidRPr="003053A6" w:rsidRDefault="00670D0E"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lastRenderedPageBreak/>
        <w:t xml:space="preserve">2.2.2 دلایل فهرست ورزشی </w:t>
      </w:r>
    </w:p>
    <w:p w14:paraId="50B54B50" w14:textId="77777777" w:rsidR="00670D0E" w:rsidRDefault="00670D0E" w:rsidP="003053A6">
      <w:pPr>
        <w:bidi/>
        <w:spacing w:after="0" w:line="360" w:lineRule="auto"/>
        <w:jc w:val="both"/>
        <w:rPr>
          <w:rFonts w:ascii="Calibri" w:hAnsi="Calibri" w:cs="B Nazanin"/>
          <w:sz w:val="28"/>
          <w:szCs w:val="28"/>
          <w:rtl/>
          <w:lang w:bidi="fa-IR"/>
        </w:rPr>
      </w:pPr>
      <w:r w:rsidRPr="003053A6">
        <w:rPr>
          <w:rFonts w:cs="B Nazanin" w:hint="cs"/>
          <w:sz w:val="28"/>
          <w:szCs w:val="28"/>
          <w:rtl/>
          <w:lang w:bidi="fa-IR"/>
        </w:rPr>
        <w:t>از شرکت کنندگان خواسته شد تا با جواب دادن به یک پرسشنامه 24 موردی اهمیت ورزش به دلایل خاص را برآورد کنند</w:t>
      </w:r>
      <w:r w:rsidR="002B5097" w:rsidRPr="003053A6">
        <w:rPr>
          <w:rFonts w:cs="B Nazanin" w:hint="cs"/>
          <w:sz w:val="28"/>
          <w:szCs w:val="28"/>
          <w:rtl/>
          <w:lang w:bidi="fa-IR"/>
        </w:rPr>
        <w:t xml:space="preserve"> (سیلبرستین، استریگل- مور، تیمکو و رودین</w:t>
      </w:r>
      <w:r w:rsidR="002B5097" w:rsidRPr="003053A6">
        <w:rPr>
          <w:rStyle w:val="FootnoteReference"/>
          <w:rFonts w:cs="B Nazanin"/>
          <w:sz w:val="28"/>
          <w:szCs w:val="28"/>
          <w:rtl/>
          <w:lang w:bidi="fa-IR"/>
        </w:rPr>
        <w:footnoteReference w:id="11"/>
      </w:r>
      <w:r w:rsidR="002B5097" w:rsidRPr="003053A6">
        <w:rPr>
          <w:rFonts w:cs="B Nazanin" w:hint="cs"/>
          <w:sz w:val="28"/>
          <w:szCs w:val="28"/>
          <w:rtl/>
          <w:lang w:bidi="fa-IR"/>
        </w:rPr>
        <w:t xml:space="preserve">، 1988). </w:t>
      </w:r>
      <w:r w:rsidR="006705C2" w:rsidRPr="003053A6">
        <w:rPr>
          <w:rFonts w:cs="B Nazanin" w:hint="cs"/>
          <w:sz w:val="28"/>
          <w:szCs w:val="28"/>
          <w:rtl/>
          <w:lang w:bidi="fa-IR"/>
        </w:rPr>
        <w:t xml:space="preserve">موارد (برای مثال "از دست دادن وزن"، "برای بهبود وضعیت ماهیچه ها"، "برای مقابله با استرس و اضطراب"، "برای جذاب بودن از نظر جنس مخالف") بر اساس مقیاس لیکرت ارزیابی شدند که از 1= کاملا بی اهمیت تا 7= بسیار مهم گسترده بود. هر مورد </w:t>
      </w:r>
      <w:r w:rsidR="001249DF" w:rsidRPr="003053A6">
        <w:rPr>
          <w:rFonts w:cs="B Nazanin" w:hint="cs"/>
          <w:sz w:val="28"/>
          <w:szCs w:val="28"/>
          <w:rtl/>
          <w:lang w:bidi="fa-IR"/>
        </w:rPr>
        <w:t xml:space="preserve">در یکی از هفت زیرمقیاس مربوط به دلایل ورزش قرار می گیرد: کنترل وزن (دو مورد، </w:t>
      </w:r>
      <w:r w:rsidR="001249DF" w:rsidRPr="003053A6">
        <w:rPr>
          <w:rFonts w:ascii="Calibri" w:hAnsi="Calibri" w:cs="B Nazanin"/>
          <w:sz w:val="28"/>
          <w:szCs w:val="28"/>
          <w:lang w:bidi="fa-IR"/>
        </w:rPr>
        <w:t>α= .69</w:t>
      </w:r>
      <w:r w:rsidR="001249DF" w:rsidRPr="003053A6">
        <w:rPr>
          <w:rFonts w:ascii="Calibri" w:hAnsi="Calibri" w:cs="B Nazanin" w:hint="cs"/>
          <w:sz w:val="28"/>
          <w:szCs w:val="28"/>
          <w:rtl/>
          <w:lang w:bidi="fa-IR"/>
        </w:rPr>
        <w:t xml:space="preserve">)، تناسب اندام (چهار مورد، </w:t>
      </w:r>
      <w:r w:rsidR="001249DF" w:rsidRPr="003053A6">
        <w:rPr>
          <w:rFonts w:ascii="Calibri" w:hAnsi="Calibri" w:cs="B Nazanin"/>
          <w:sz w:val="28"/>
          <w:szCs w:val="28"/>
          <w:lang w:bidi="fa-IR"/>
        </w:rPr>
        <w:t>α= .81</w:t>
      </w:r>
      <w:r w:rsidR="001249DF" w:rsidRPr="003053A6">
        <w:rPr>
          <w:rFonts w:ascii="Calibri" w:hAnsi="Calibri" w:cs="B Nazanin" w:hint="cs"/>
          <w:sz w:val="28"/>
          <w:szCs w:val="28"/>
          <w:rtl/>
          <w:lang w:bidi="fa-IR"/>
        </w:rPr>
        <w:t xml:space="preserve">)، روحیه (چهار مورد، </w:t>
      </w:r>
      <w:r w:rsidR="001249DF" w:rsidRPr="003053A6">
        <w:rPr>
          <w:rFonts w:ascii="Calibri" w:hAnsi="Calibri" w:cs="B Nazanin"/>
          <w:sz w:val="28"/>
          <w:szCs w:val="28"/>
          <w:lang w:bidi="fa-IR"/>
        </w:rPr>
        <w:t>= .84</w:t>
      </w:r>
      <w:r w:rsidR="001249DF" w:rsidRPr="003053A6">
        <w:rPr>
          <w:rFonts w:ascii="Calibri" w:hAnsi="Calibri" w:cs="Calibri" w:hint="cs"/>
          <w:sz w:val="28"/>
          <w:szCs w:val="28"/>
          <w:rtl/>
          <w:lang w:bidi="fa-IR"/>
        </w:rPr>
        <w:t>α</w:t>
      </w:r>
      <w:r w:rsidR="001249DF" w:rsidRPr="003053A6">
        <w:rPr>
          <w:rFonts w:ascii="Calibri" w:hAnsi="Calibri" w:cs="B Nazanin" w:hint="cs"/>
          <w:sz w:val="28"/>
          <w:szCs w:val="28"/>
          <w:rtl/>
          <w:lang w:bidi="fa-IR"/>
        </w:rPr>
        <w:t xml:space="preserve">)، سلامتی (چهار مورد، </w:t>
      </w:r>
      <w:r w:rsidR="001249DF" w:rsidRPr="003053A6">
        <w:rPr>
          <w:rFonts w:ascii="Calibri" w:hAnsi="Calibri" w:cs="B Nazanin"/>
          <w:sz w:val="28"/>
          <w:szCs w:val="28"/>
          <w:lang w:bidi="fa-IR"/>
        </w:rPr>
        <w:t>α= .85</w:t>
      </w:r>
      <w:r w:rsidR="001249DF" w:rsidRPr="003053A6">
        <w:rPr>
          <w:rFonts w:ascii="Calibri" w:hAnsi="Calibri" w:cs="B Nazanin" w:hint="cs"/>
          <w:sz w:val="28"/>
          <w:szCs w:val="28"/>
          <w:rtl/>
          <w:lang w:bidi="fa-IR"/>
        </w:rPr>
        <w:t xml:space="preserve">)، جذابیت (سه مورد، </w:t>
      </w:r>
      <w:r w:rsidR="001249DF" w:rsidRPr="003053A6">
        <w:rPr>
          <w:rFonts w:ascii="Calibri" w:hAnsi="Calibri" w:cs="B Nazanin"/>
          <w:sz w:val="28"/>
          <w:szCs w:val="28"/>
          <w:lang w:bidi="fa-IR"/>
        </w:rPr>
        <w:t>α= .82</w:t>
      </w:r>
      <w:r w:rsidR="001249DF" w:rsidRPr="003053A6">
        <w:rPr>
          <w:rFonts w:ascii="Calibri" w:hAnsi="Calibri" w:cs="B Nazanin" w:hint="cs"/>
          <w:sz w:val="28"/>
          <w:szCs w:val="28"/>
          <w:rtl/>
          <w:lang w:bidi="fa-IR"/>
        </w:rPr>
        <w:t xml:space="preserve">)، تفریح (سه مورد، </w:t>
      </w:r>
      <w:r w:rsidR="001249DF" w:rsidRPr="003053A6">
        <w:rPr>
          <w:rFonts w:ascii="Calibri" w:hAnsi="Calibri" w:cs="B Nazanin"/>
          <w:sz w:val="28"/>
          <w:szCs w:val="28"/>
          <w:lang w:bidi="fa-IR"/>
        </w:rPr>
        <w:t>α= .75</w:t>
      </w:r>
      <w:r w:rsidR="001249DF" w:rsidRPr="003053A6">
        <w:rPr>
          <w:rFonts w:ascii="Calibri" w:hAnsi="Calibri" w:cs="B Nazanin" w:hint="cs"/>
          <w:sz w:val="28"/>
          <w:szCs w:val="28"/>
          <w:rtl/>
          <w:lang w:bidi="fa-IR"/>
        </w:rPr>
        <w:t xml:space="preserve">) و تقویت (سه مورد، </w:t>
      </w:r>
      <w:r w:rsidR="001249DF" w:rsidRPr="003053A6">
        <w:rPr>
          <w:rFonts w:ascii="Calibri" w:hAnsi="Calibri" w:cs="B Nazanin"/>
          <w:sz w:val="28"/>
          <w:szCs w:val="28"/>
          <w:lang w:bidi="fa-IR"/>
        </w:rPr>
        <w:t>α= .76</w:t>
      </w:r>
      <w:r w:rsidR="001249DF" w:rsidRPr="003053A6">
        <w:rPr>
          <w:rFonts w:ascii="Calibri" w:hAnsi="Calibri" w:cs="B Nazanin" w:hint="cs"/>
          <w:sz w:val="28"/>
          <w:szCs w:val="28"/>
          <w:rtl/>
          <w:lang w:bidi="fa-IR"/>
        </w:rPr>
        <w:t xml:space="preserve">). میانگین این موارد برای به دست آوردن امتیاز مقیاس ها گرفته شد. </w:t>
      </w:r>
    </w:p>
    <w:p w14:paraId="56170D5C" w14:textId="77777777" w:rsidR="003053A6" w:rsidRPr="003053A6" w:rsidRDefault="003053A6" w:rsidP="003053A6">
      <w:pPr>
        <w:bidi/>
        <w:spacing w:after="0" w:line="360" w:lineRule="auto"/>
        <w:jc w:val="both"/>
        <w:rPr>
          <w:rFonts w:ascii="Calibri" w:hAnsi="Calibri" w:cs="B Nazanin"/>
          <w:sz w:val="28"/>
          <w:szCs w:val="28"/>
          <w:rtl/>
          <w:lang w:bidi="fa-IR"/>
        </w:rPr>
      </w:pPr>
    </w:p>
    <w:p w14:paraId="4D685F55" w14:textId="77777777" w:rsidR="00B97EDA" w:rsidRPr="003053A6" w:rsidRDefault="003053A6" w:rsidP="003053A6">
      <w:pPr>
        <w:bidi/>
        <w:spacing w:after="0" w:line="360" w:lineRule="auto"/>
        <w:jc w:val="both"/>
        <w:rPr>
          <w:rFonts w:cs="B Nazanin"/>
          <w:b/>
          <w:bCs/>
          <w:sz w:val="28"/>
          <w:szCs w:val="28"/>
          <w:rtl/>
          <w:lang w:bidi="fa-IR"/>
        </w:rPr>
      </w:pPr>
      <w:r>
        <w:rPr>
          <w:rFonts w:cs="B Nazanin" w:hint="cs"/>
          <w:b/>
          <w:bCs/>
          <w:sz w:val="28"/>
          <w:szCs w:val="28"/>
          <w:rtl/>
          <w:lang w:bidi="fa-IR"/>
        </w:rPr>
        <w:t>4.</w:t>
      </w:r>
      <w:r w:rsidR="00B97EDA" w:rsidRPr="003053A6">
        <w:rPr>
          <w:rFonts w:cs="B Nazanin" w:hint="cs"/>
          <w:b/>
          <w:bCs/>
          <w:sz w:val="28"/>
          <w:szCs w:val="28"/>
          <w:rtl/>
          <w:lang w:bidi="fa-IR"/>
        </w:rPr>
        <w:t xml:space="preserve"> بحث </w:t>
      </w:r>
    </w:p>
    <w:p w14:paraId="381E22B6" w14:textId="77777777" w:rsidR="001A6728" w:rsidRPr="003053A6" w:rsidRDefault="00B97EDA" w:rsidP="003053A6">
      <w:pPr>
        <w:bidi/>
        <w:spacing w:after="0" w:line="360" w:lineRule="auto"/>
        <w:jc w:val="both"/>
        <w:rPr>
          <w:rFonts w:cs="B Nazanin"/>
          <w:sz w:val="28"/>
          <w:szCs w:val="28"/>
          <w:rtl/>
          <w:lang w:bidi="fa-IR"/>
        </w:rPr>
      </w:pPr>
      <w:r w:rsidRPr="003053A6">
        <w:rPr>
          <w:rFonts w:cs="B Nazanin" w:hint="cs"/>
          <w:sz w:val="28"/>
          <w:szCs w:val="28"/>
          <w:rtl/>
          <w:lang w:bidi="fa-IR"/>
        </w:rPr>
        <w:t>مانند تحقیقات پیشین (بوشمن و براندنبرگ</w:t>
      </w:r>
      <w:r w:rsidRPr="003053A6">
        <w:rPr>
          <w:rStyle w:val="FootnoteReference"/>
          <w:rFonts w:cs="B Nazanin"/>
          <w:sz w:val="28"/>
          <w:szCs w:val="28"/>
          <w:rtl/>
          <w:lang w:bidi="fa-IR"/>
        </w:rPr>
        <w:footnoteReference w:id="12"/>
      </w:r>
      <w:r w:rsidRPr="003053A6">
        <w:rPr>
          <w:rFonts w:cs="B Nazanin" w:hint="cs"/>
          <w:sz w:val="28"/>
          <w:szCs w:val="28"/>
          <w:rtl/>
          <w:lang w:bidi="fa-IR"/>
        </w:rPr>
        <w:t>، 2009؛ چو، بوشمن و وودارد</w:t>
      </w:r>
      <w:r w:rsidRPr="003053A6">
        <w:rPr>
          <w:rStyle w:val="FootnoteReference"/>
          <w:rFonts w:cs="B Nazanin"/>
          <w:sz w:val="28"/>
          <w:szCs w:val="28"/>
          <w:rtl/>
          <w:lang w:bidi="fa-IR"/>
        </w:rPr>
        <w:footnoteReference w:id="13"/>
      </w:r>
      <w:r w:rsidRPr="003053A6">
        <w:rPr>
          <w:rFonts w:cs="B Nazanin" w:hint="cs"/>
          <w:sz w:val="28"/>
          <w:szCs w:val="28"/>
          <w:rtl/>
          <w:lang w:bidi="fa-IR"/>
        </w:rPr>
        <w:t xml:space="preserve">، 2008)، در مطالعه حاضر نیز تفاوت جنسیتی در ورزش الزامی وجود نداشت. با این حال، همانطور که انتظار می رفت، در دلایل مربوط به ورزش و در میزان ارتباط بین دلایل ورزش و ورزش الزامی دلایل جنسیتی وجود داشت. مشابه تحقیق فرنام و همکارانش (2002)، زنان بیش از مردان برای کنترل وزن، بهبود روحیه و تقویت بدنشان ورزش می کنند. جالب است که همبستگی بین </w:t>
      </w:r>
      <w:r w:rsidR="00D25D10" w:rsidRPr="003053A6">
        <w:rPr>
          <w:rFonts w:cs="B Nazanin" w:hint="cs"/>
          <w:sz w:val="28"/>
          <w:szCs w:val="28"/>
          <w:rtl/>
          <w:lang w:bidi="fa-IR"/>
        </w:rPr>
        <w:t>پرسشنامه ورزش الزامی (</w:t>
      </w:r>
      <w:r w:rsidR="00D25D10" w:rsidRPr="003053A6">
        <w:rPr>
          <w:rFonts w:cs="B Nazanin"/>
          <w:sz w:val="28"/>
          <w:szCs w:val="28"/>
          <w:lang w:bidi="fa-IR"/>
        </w:rPr>
        <w:t>OEQ</w:t>
      </w:r>
      <w:r w:rsidR="00D25D10" w:rsidRPr="003053A6">
        <w:rPr>
          <w:rFonts w:cs="B Nazanin" w:hint="cs"/>
          <w:sz w:val="28"/>
          <w:szCs w:val="28"/>
          <w:rtl/>
          <w:lang w:bidi="fa-IR"/>
        </w:rPr>
        <w:t xml:space="preserve">) و ورزش برای تناسب اندام </w:t>
      </w:r>
      <w:r w:rsidR="007469F1" w:rsidRPr="003053A6">
        <w:rPr>
          <w:rFonts w:cs="B Nazanin" w:hint="cs"/>
          <w:sz w:val="28"/>
          <w:szCs w:val="28"/>
          <w:rtl/>
          <w:lang w:bidi="fa-IR"/>
        </w:rPr>
        <w:t xml:space="preserve">و کنترل وزن </w:t>
      </w:r>
      <w:r w:rsidR="00D25D10" w:rsidRPr="003053A6">
        <w:rPr>
          <w:rFonts w:cs="B Nazanin" w:hint="cs"/>
          <w:sz w:val="28"/>
          <w:szCs w:val="28"/>
          <w:rtl/>
          <w:lang w:bidi="fa-IR"/>
        </w:rPr>
        <w:t>در</w:t>
      </w:r>
      <w:r w:rsidR="007469F1" w:rsidRPr="003053A6">
        <w:rPr>
          <w:rFonts w:cs="B Nazanin" w:hint="cs"/>
          <w:sz w:val="28"/>
          <w:szCs w:val="28"/>
          <w:rtl/>
          <w:lang w:bidi="fa-IR"/>
        </w:rPr>
        <w:t xml:space="preserve"> زنان بسیار بیشتر از مردان بود. این نتایج مغایر با نتایج به دست آمده در تحقیقات پیشین بود (فرنام و همکارانش، 2002) که دریافتند کنترل وزن و تناسب اندام </w:t>
      </w:r>
      <w:r w:rsidR="00E42CB6" w:rsidRPr="003053A6">
        <w:rPr>
          <w:rFonts w:cs="B Nazanin" w:hint="cs"/>
          <w:sz w:val="28"/>
          <w:szCs w:val="28"/>
          <w:rtl/>
          <w:lang w:bidi="fa-IR"/>
        </w:rPr>
        <w:t>نشان دهنده تغذیه نامنظم در نوجوانان پسر و نه دختر است. مشخص نیست که آیا</w:t>
      </w:r>
      <w:r w:rsidR="00E42CB6" w:rsidRPr="003053A6">
        <w:rPr>
          <w:rFonts w:cs="B Nazanin" w:hint="cs"/>
          <w:color w:val="FF0000"/>
          <w:sz w:val="28"/>
          <w:szCs w:val="28"/>
          <w:rtl/>
          <w:lang w:bidi="fa-IR"/>
        </w:rPr>
        <w:t xml:space="preserve"> </w:t>
      </w:r>
      <w:r w:rsidR="00E42CB6" w:rsidRPr="003053A6">
        <w:rPr>
          <w:rFonts w:cs="B Nazanin" w:hint="cs"/>
          <w:sz w:val="28"/>
          <w:szCs w:val="28"/>
          <w:rtl/>
          <w:lang w:bidi="fa-IR"/>
        </w:rPr>
        <w:t xml:space="preserve">این مسئله را باید به تفاوت ها در جمعیت (نوجوانان در مقابل دانشجویان) یا تفاوت در </w:t>
      </w:r>
      <w:r w:rsidR="00F2510F" w:rsidRPr="003053A6">
        <w:rPr>
          <w:rFonts w:cs="B Nazanin" w:hint="cs"/>
          <w:sz w:val="28"/>
          <w:szCs w:val="28"/>
          <w:rtl/>
          <w:lang w:bidi="fa-IR"/>
        </w:rPr>
        <w:t>ساختارها (ورزش الزامی و تغذیه نامنظم)</w:t>
      </w:r>
      <w:r w:rsidR="00E42CB6" w:rsidRPr="003053A6">
        <w:rPr>
          <w:rFonts w:cs="B Nazanin" w:hint="cs"/>
          <w:sz w:val="28"/>
          <w:szCs w:val="28"/>
          <w:rtl/>
          <w:lang w:bidi="fa-IR"/>
        </w:rPr>
        <w:t xml:space="preserve"> </w:t>
      </w:r>
      <w:r w:rsidR="00F2510F" w:rsidRPr="003053A6">
        <w:rPr>
          <w:rFonts w:cs="B Nazanin" w:hint="cs"/>
          <w:sz w:val="28"/>
          <w:szCs w:val="28"/>
          <w:rtl/>
          <w:lang w:bidi="fa-IR"/>
        </w:rPr>
        <w:t xml:space="preserve">نسبت داد. تحقیقات آتی باید به بررسی این مسئله بپردازند. </w:t>
      </w:r>
    </w:p>
    <w:p w14:paraId="772669FE" w14:textId="77777777" w:rsidR="001F16A6" w:rsidRDefault="00F2510F" w:rsidP="003053A6">
      <w:pPr>
        <w:bidi/>
        <w:spacing w:after="0" w:line="360" w:lineRule="auto"/>
        <w:jc w:val="both"/>
        <w:rPr>
          <w:rFonts w:cs="B Nazanin"/>
          <w:sz w:val="28"/>
          <w:szCs w:val="28"/>
          <w:rtl/>
          <w:lang w:bidi="fa-IR"/>
        </w:rPr>
      </w:pPr>
      <w:r w:rsidRPr="003053A6">
        <w:rPr>
          <w:rFonts w:cs="B Nazanin" w:hint="cs"/>
          <w:sz w:val="28"/>
          <w:szCs w:val="28"/>
          <w:rtl/>
          <w:lang w:bidi="fa-IR"/>
        </w:rPr>
        <w:lastRenderedPageBreak/>
        <w:t xml:space="preserve">همانطور که فرض شده بود، نتایج این تحقیق نیز حاکی از آن است که زنان و مردان به دلایل مختلفی شروه به ورزش الزامی می کنند. </w:t>
      </w:r>
      <w:r w:rsidR="00FC13B7" w:rsidRPr="003053A6">
        <w:rPr>
          <w:rFonts w:cs="B Nazanin" w:hint="cs"/>
          <w:color w:val="000000" w:themeColor="text1"/>
          <w:sz w:val="28"/>
          <w:szCs w:val="28"/>
          <w:rtl/>
          <w:lang w:bidi="fa-IR"/>
        </w:rPr>
        <w:t xml:space="preserve">بر اساس تحقیقات فرنام و همکارانش (2002) در مورد نوجوانان، چنین فرض شده بود که </w:t>
      </w:r>
      <w:r w:rsidR="001F16A6" w:rsidRPr="003053A6">
        <w:rPr>
          <w:rFonts w:cs="B Nazanin" w:hint="cs"/>
          <w:color w:val="000000" w:themeColor="text1"/>
          <w:sz w:val="28"/>
          <w:szCs w:val="28"/>
          <w:rtl/>
          <w:lang w:bidi="fa-IR"/>
        </w:rPr>
        <w:t xml:space="preserve">ورزش الزامی با تمرین با انگیزه های ظاهری در زنان و تمرین با انگیزه های سلامتی و </w:t>
      </w:r>
      <w:r w:rsidR="00D25D10" w:rsidRPr="003053A6">
        <w:rPr>
          <w:rFonts w:cs="B Nazanin" w:hint="cs"/>
          <w:sz w:val="28"/>
          <w:szCs w:val="28"/>
          <w:rtl/>
          <w:lang w:bidi="fa-IR"/>
        </w:rPr>
        <w:t xml:space="preserve"> </w:t>
      </w:r>
      <w:r w:rsidR="001F16A6" w:rsidRPr="003053A6">
        <w:rPr>
          <w:rFonts w:cs="B Nazanin" w:hint="cs"/>
          <w:sz w:val="28"/>
          <w:szCs w:val="28"/>
          <w:rtl/>
          <w:lang w:bidi="fa-IR"/>
        </w:rPr>
        <w:t xml:space="preserve">تناسب اندام در مردان پیش بینی می شود. بر خلاف فرضیه ما، بر اساس مطالعه حاضر، زنان برای تقویت روحیه و جسم و تناسب اندام و مردان برای تقویت جسم و تفریح و افزایش جذابیت فیزیکی خود در ورزش های الزامی شرکت می کنند. </w:t>
      </w:r>
    </w:p>
    <w:p w14:paraId="17BD393A" w14:textId="77777777" w:rsidR="003053A6" w:rsidRPr="003053A6" w:rsidRDefault="003053A6" w:rsidP="003053A6">
      <w:pPr>
        <w:bidi/>
        <w:spacing w:after="0" w:line="360" w:lineRule="auto"/>
        <w:jc w:val="both"/>
        <w:rPr>
          <w:rFonts w:cs="B Nazanin"/>
          <w:sz w:val="28"/>
          <w:szCs w:val="28"/>
          <w:rtl/>
          <w:lang w:bidi="fa-IR"/>
        </w:rPr>
      </w:pPr>
    </w:p>
    <w:p w14:paraId="5149149A" w14:textId="77777777" w:rsidR="00B97EDA" w:rsidRPr="003053A6" w:rsidRDefault="001F16A6" w:rsidP="003053A6">
      <w:pPr>
        <w:bidi/>
        <w:spacing w:after="0" w:line="360" w:lineRule="auto"/>
        <w:jc w:val="both"/>
        <w:rPr>
          <w:rFonts w:cs="B Nazanin"/>
          <w:sz w:val="28"/>
          <w:szCs w:val="28"/>
          <w:rtl/>
          <w:lang w:bidi="fa-IR"/>
        </w:rPr>
      </w:pPr>
      <w:r w:rsidRPr="003053A6">
        <w:rPr>
          <w:rFonts w:cs="B Nazanin" w:hint="cs"/>
          <w:b/>
          <w:bCs/>
          <w:sz w:val="28"/>
          <w:szCs w:val="28"/>
          <w:rtl/>
          <w:lang w:bidi="fa-IR"/>
        </w:rPr>
        <w:t>4.1 زنان</w:t>
      </w:r>
      <w:r w:rsidRPr="003053A6">
        <w:rPr>
          <w:rFonts w:cs="B Nazanin" w:hint="cs"/>
          <w:sz w:val="28"/>
          <w:szCs w:val="28"/>
          <w:rtl/>
          <w:lang w:bidi="fa-IR"/>
        </w:rPr>
        <w:t xml:space="preserve"> </w:t>
      </w:r>
    </w:p>
    <w:p w14:paraId="7BA82A10" w14:textId="77777777" w:rsidR="00021E95" w:rsidRDefault="001F16A6"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بر خلاف یافته های تام و اسپلاج (2007)، جالب است که در تحقیق حاضر، تمرین برای کنترل وزن پیش بینی کننده ورزش الزامی در میان زنان نیست؛ با این حال، ورزش برای تقویت جسم نشان دهنده آن بود. لازم به ذکر است که تام  اسپلاج تنها مقیاس کنترل وزن </w:t>
      </w:r>
      <w:r w:rsidR="00CD4E13" w:rsidRPr="003053A6">
        <w:rPr>
          <w:rFonts w:cs="B Nazanin"/>
          <w:sz w:val="28"/>
          <w:szCs w:val="28"/>
          <w:lang w:bidi="fa-IR"/>
        </w:rPr>
        <w:t>REI</w:t>
      </w:r>
      <w:r w:rsidR="00CD4E13" w:rsidRPr="003053A6">
        <w:rPr>
          <w:rFonts w:cs="B Nazanin" w:hint="cs"/>
          <w:sz w:val="28"/>
          <w:szCs w:val="28"/>
          <w:rtl/>
          <w:lang w:bidi="fa-IR"/>
        </w:rPr>
        <w:t xml:space="preserve"> را آزمودند و در این بررسی، مقیاس کنترل وزن با ورزش الزامی همبستگی داشت و به عنوان متغیر پیش بینی کننده در تجزیه و تحلیل پس رفت ظاهر نشد. </w:t>
      </w:r>
      <w:r w:rsidR="00021E95" w:rsidRPr="003053A6">
        <w:rPr>
          <w:rFonts w:cs="B Nazanin" w:hint="cs"/>
          <w:color w:val="000000" w:themeColor="text1"/>
          <w:sz w:val="28"/>
          <w:szCs w:val="28"/>
          <w:rtl/>
          <w:lang w:bidi="fa-IR"/>
        </w:rPr>
        <w:t>در هر صورت، این یافته ای جالب توجه بوده و باید مورد بررسی بیشتر قرار گیرد. عجیب نیست که ورزش برای تقویت جسم پیش بینی کننده ورزش الزامی و همچنین تغذیه نامنظم بود (موند، های، راجرز، اُوِن و بومونت</w:t>
      </w:r>
      <w:r w:rsidR="00021E95" w:rsidRPr="003053A6">
        <w:rPr>
          <w:rStyle w:val="FootnoteReference"/>
          <w:rFonts w:cs="B Nazanin"/>
          <w:color w:val="000000" w:themeColor="text1"/>
          <w:sz w:val="28"/>
          <w:szCs w:val="28"/>
          <w:rtl/>
          <w:lang w:bidi="fa-IR"/>
        </w:rPr>
        <w:footnoteReference w:id="14"/>
      </w:r>
      <w:r w:rsidR="00021E95" w:rsidRPr="003053A6">
        <w:rPr>
          <w:rFonts w:cs="B Nazanin" w:hint="cs"/>
          <w:color w:val="000000" w:themeColor="text1"/>
          <w:sz w:val="28"/>
          <w:szCs w:val="28"/>
          <w:rtl/>
          <w:lang w:bidi="fa-IR"/>
        </w:rPr>
        <w:t>، 2004) و تغذیه نامنظم و ورزش الزامی با یکدیگر مرتبط هستند (آدکینز و کیل</w:t>
      </w:r>
      <w:r w:rsidR="00021E95" w:rsidRPr="003053A6">
        <w:rPr>
          <w:rStyle w:val="FootnoteReference"/>
          <w:rFonts w:cs="B Nazanin"/>
          <w:color w:val="000000" w:themeColor="text1"/>
          <w:sz w:val="28"/>
          <w:szCs w:val="28"/>
          <w:rtl/>
          <w:lang w:bidi="fa-IR"/>
        </w:rPr>
        <w:footnoteReference w:id="15"/>
      </w:r>
      <w:r w:rsidR="00021E95" w:rsidRPr="003053A6">
        <w:rPr>
          <w:rFonts w:cs="B Nazanin" w:hint="cs"/>
          <w:color w:val="000000" w:themeColor="text1"/>
          <w:sz w:val="28"/>
          <w:szCs w:val="28"/>
          <w:rtl/>
          <w:lang w:bidi="fa-IR"/>
        </w:rPr>
        <w:t xml:space="preserve">، 2005). </w:t>
      </w:r>
      <w:r w:rsidR="00021E95" w:rsidRPr="003053A6">
        <w:rPr>
          <w:rFonts w:cs="B Nazanin" w:hint="cs"/>
          <w:sz w:val="28"/>
          <w:szCs w:val="28"/>
          <w:rtl/>
          <w:lang w:bidi="fa-IR"/>
        </w:rPr>
        <w:t xml:space="preserve">مشابه تحقیقات قبلی، مطالعه فعلی نیز دریافت که زنان نیز به دلیل تناسب اندام و تقویت روحیه در ورزش الزامی شرکت می کنند. </w:t>
      </w:r>
      <w:r w:rsidR="00484F34" w:rsidRPr="003053A6">
        <w:rPr>
          <w:rFonts w:cs="B Nazanin" w:hint="cs"/>
          <w:sz w:val="28"/>
          <w:szCs w:val="28"/>
          <w:rtl/>
          <w:lang w:bidi="fa-IR"/>
        </w:rPr>
        <w:t>شاید فرض این مسئله عجیب نباشد که زنان بیش از مردان تناسب اندام را به عنوان دلیلی برای ورزش ذکر می کنند (کولت، درایور و گیلز</w:t>
      </w:r>
      <w:r w:rsidR="00484F34" w:rsidRPr="003053A6">
        <w:rPr>
          <w:rStyle w:val="FootnoteReference"/>
          <w:rFonts w:cs="B Nazanin"/>
          <w:sz w:val="28"/>
          <w:szCs w:val="28"/>
          <w:rtl/>
          <w:lang w:bidi="fa-IR"/>
        </w:rPr>
        <w:footnoteReference w:id="16"/>
      </w:r>
      <w:r w:rsidR="00484F34" w:rsidRPr="003053A6">
        <w:rPr>
          <w:rFonts w:cs="B Nazanin" w:hint="cs"/>
          <w:sz w:val="28"/>
          <w:szCs w:val="28"/>
          <w:rtl/>
          <w:lang w:bidi="fa-IR"/>
        </w:rPr>
        <w:t>، 2004؛ مورسیا</w:t>
      </w:r>
      <w:r w:rsidR="00484F34" w:rsidRPr="003053A6">
        <w:rPr>
          <w:rStyle w:val="FootnoteReference"/>
          <w:rFonts w:cs="B Nazanin"/>
          <w:sz w:val="28"/>
          <w:szCs w:val="28"/>
          <w:rtl/>
          <w:lang w:bidi="fa-IR"/>
        </w:rPr>
        <w:footnoteReference w:id="17"/>
      </w:r>
      <w:r w:rsidR="00484F34" w:rsidRPr="003053A6">
        <w:rPr>
          <w:rFonts w:cs="B Nazanin" w:hint="cs"/>
          <w:sz w:val="28"/>
          <w:szCs w:val="28"/>
          <w:rtl/>
          <w:lang w:bidi="fa-IR"/>
        </w:rPr>
        <w:t xml:space="preserve"> و همکارانش، 2008) و استفاده از ورزش به عنوان ابزاری برای تقویا روحیه در زنان رایج تر است (اسمیت، وولف، لافرامبویز</w:t>
      </w:r>
      <w:r w:rsidR="00484F34" w:rsidRPr="003053A6">
        <w:rPr>
          <w:rStyle w:val="FootnoteReference"/>
          <w:rFonts w:cs="B Nazanin"/>
          <w:sz w:val="28"/>
          <w:szCs w:val="28"/>
          <w:rtl/>
          <w:lang w:bidi="fa-IR"/>
        </w:rPr>
        <w:footnoteReference w:id="18"/>
      </w:r>
      <w:r w:rsidR="00484F34" w:rsidRPr="003053A6">
        <w:rPr>
          <w:rFonts w:cs="B Nazanin" w:hint="cs"/>
          <w:sz w:val="28"/>
          <w:szCs w:val="28"/>
          <w:rtl/>
          <w:lang w:bidi="fa-IR"/>
        </w:rPr>
        <w:t xml:space="preserve">، 2001). </w:t>
      </w:r>
    </w:p>
    <w:p w14:paraId="7D62AB02" w14:textId="77777777" w:rsidR="003053A6" w:rsidRPr="003053A6" w:rsidRDefault="003053A6" w:rsidP="003053A6">
      <w:pPr>
        <w:bidi/>
        <w:spacing w:after="0" w:line="360" w:lineRule="auto"/>
        <w:jc w:val="both"/>
        <w:rPr>
          <w:rFonts w:cs="B Nazanin"/>
          <w:color w:val="000000" w:themeColor="text1"/>
          <w:sz w:val="28"/>
          <w:szCs w:val="28"/>
          <w:rtl/>
          <w:lang w:bidi="fa-IR"/>
        </w:rPr>
      </w:pPr>
    </w:p>
    <w:p w14:paraId="4D476E07" w14:textId="77777777" w:rsidR="00CF0201" w:rsidRPr="003053A6" w:rsidRDefault="00CF0201"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lastRenderedPageBreak/>
        <w:t>4.2 مردان</w:t>
      </w:r>
    </w:p>
    <w:p w14:paraId="4854D796" w14:textId="77777777" w:rsidR="00C86085" w:rsidRDefault="00CF0201" w:rsidP="003053A6">
      <w:pPr>
        <w:bidi/>
        <w:spacing w:after="0" w:line="360" w:lineRule="auto"/>
        <w:jc w:val="both"/>
        <w:rPr>
          <w:rFonts w:cs="B Nazanin"/>
          <w:sz w:val="28"/>
          <w:szCs w:val="28"/>
          <w:rtl/>
          <w:lang w:bidi="fa-IR"/>
        </w:rPr>
      </w:pPr>
      <w:r w:rsidRPr="003053A6">
        <w:rPr>
          <w:rFonts w:cs="B Nazanin" w:hint="cs"/>
          <w:sz w:val="28"/>
          <w:szCs w:val="28"/>
          <w:rtl/>
          <w:lang w:bidi="fa-IR"/>
        </w:rPr>
        <w:t>تجزیه و تحلیل پس رفت برای متغیرهای پیش بینی کننده ورزش الزامی در میان مردان نشان می دهد که سه دلیل اصلی که مردان به طور وسواس گونه ای ورزش می کنند</w:t>
      </w:r>
      <w:r w:rsidR="00353C04" w:rsidRPr="003053A6">
        <w:rPr>
          <w:rFonts w:cs="B Nazanin" w:hint="cs"/>
          <w:sz w:val="28"/>
          <w:szCs w:val="28"/>
          <w:rtl/>
          <w:lang w:bidi="fa-IR"/>
        </w:rPr>
        <w:t>،</w:t>
      </w:r>
      <w:r w:rsidRPr="003053A6">
        <w:rPr>
          <w:rFonts w:cs="B Nazanin" w:hint="cs"/>
          <w:sz w:val="28"/>
          <w:szCs w:val="28"/>
          <w:rtl/>
          <w:lang w:bidi="fa-IR"/>
        </w:rPr>
        <w:t xml:space="preserve"> </w:t>
      </w:r>
      <w:r w:rsidR="00353C04" w:rsidRPr="003053A6">
        <w:rPr>
          <w:rFonts w:cs="B Nazanin" w:hint="cs"/>
          <w:sz w:val="28"/>
          <w:szCs w:val="28"/>
          <w:rtl/>
          <w:lang w:bidi="fa-IR"/>
        </w:rPr>
        <w:t>تقویت بدن، تفریح و کسب جذابیت است. با در نظر گرفتن این نکته که پریچارد، پارکر و نیلسن</w:t>
      </w:r>
      <w:r w:rsidR="00353C04" w:rsidRPr="003053A6">
        <w:rPr>
          <w:rStyle w:val="FootnoteReference"/>
          <w:rFonts w:cs="B Nazanin"/>
          <w:sz w:val="28"/>
          <w:szCs w:val="28"/>
          <w:rtl/>
          <w:lang w:bidi="fa-IR"/>
        </w:rPr>
        <w:footnoteReference w:id="19"/>
      </w:r>
      <w:r w:rsidR="00353C04" w:rsidRPr="003053A6">
        <w:rPr>
          <w:rFonts w:cs="B Nazanin" w:hint="cs"/>
          <w:sz w:val="28"/>
          <w:szCs w:val="28"/>
          <w:rtl/>
          <w:lang w:bidi="fa-IR"/>
        </w:rPr>
        <w:t xml:space="preserve"> (2011) به وجود ارتباطی بین تمایل به ورزیدگی و ورزش الزامی پی بردند و مردان تمایل دارند تا بیشتر</w:t>
      </w:r>
      <w:r w:rsidR="008A0336" w:rsidRPr="003053A6">
        <w:rPr>
          <w:rFonts w:cs="B Nazanin" w:hint="cs"/>
          <w:sz w:val="28"/>
          <w:szCs w:val="28"/>
          <w:rtl/>
          <w:lang w:bidi="fa-IR"/>
        </w:rPr>
        <w:t xml:space="preserve"> به بدنسازی توجه کنند (گریو، جکسون، ریس، مارکلین و دیلانی</w:t>
      </w:r>
      <w:r w:rsidR="008A0336" w:rsidRPr="003053A6">
        <w:rPr>
          <w:rStyle w:val="FootnoteReference"/>
          <w:rFonts w:cs="B Nazanin"/>
          <w:sz w:val="28"/>
          <w:szCs w:val="28"/>
          <w:rtl/>
          <w:lang w:bidi="fa-IR"/>
        </w:rPr>
        <w:footnoteReference w:id="20"/>
      </w:r>
      <w:r w:rsidR="008A0336" w:rsidRPr="003053A6">
        <w:rPr>
          <w:rFonts w:cs="B Nazanin" w:hint="cs"/>
          <w:sz w:val="28"/>
          <w:szCs w:val="28"/>
          <w:rtl/>
          <w:lang w:bidi="fa-IR"/>
        </w:rPr>
        <w:t xml:space="preserve">، 2008)، شاید عجیب نباشد که در این بررسی، ورزش کردن به منظور تقویت بدن پیش بینی کننده اصلی ورزش الزامی در مردان بود. علاوه بر این، </w:t>
      </w:r>
      <w:r w:rsidR="00C86085" w:rsidRPr="003053A6">
        <w:rPr>
          <w:rFonts w:cs="B Nazanin" w:hint="cs"/>
          <w:sz w:val="28"/>
          <w:szCs w:val="28"/>
          <w:rtl/>
          <w:lang w:bidi="fa-IR"/>
        </w:rPr>
        <w:t>با در نظر گرفتن دفعات ورزش (پونته و آنشل</w:t>
      </w:r>
      <w:r w:rsidR="00C86085" w:rsidRPr="003053A6">
        <w:rPr>
          <w:rStyle w:val="FootnoteReference"/>
          <w:rFonts w:cs="B Nazanin"/>
          <w:sz w:val="28"/>
          <w:szCs w:val="28"/>
          <w:rtl/>
          <w:lang w:bidi="fa-IR"/>
        </w:rPr>
        <w:footnoteReference w:id="21"/>
      </w:r>
      <w:r w:rsidR="00C86085" w:rsidRPr="003053A6">
        <w:rPr>
          <w:rFonts w:cs="B Nazanin" w:hint="cs"/>
          <w:sz w:val="28"/>
          <w:szCs w:val="28"/>
          <w:rtl/>
          <w:lang w:bidi="fa-IR"/>
        </w:rPr>
        <w:t>، 2010) و این که ساعات صرف شده برای ورزش در هر هفته به ورزش با هدف تفریح در مردان مرتبط است (بران و گراهام</w:t>
      </w:r>
      <w:r w:rsidR="00C86085" w:rsidRPr="003053A6">
        <w:rPr>
          <w:rStyle w:val="FootnoteReference"/>
          <w:rFonts w:cs="B Nazanin"/>
          <w:sz w:val="28"/>
          <w:szCs w:val="28"/>
          <w:rtl/>
          <w:lang w:bidi="fa-IR"/>
        </w:rPr>
        <w:footnoteReference w:id="22"/>
      </w:r>
      <w:r w:rsidR="00C86085" w:rsidRPr="003053A6">
        <w:rPr>
          <w:rFonts w:cs="B Nazanin" w:hint="cs"/>
          <w:sz w:val="28"/>
          <w:szCs w:val="28"/>
          <w:rtl/>
          <w:lang w:bidi="fa-IR"/>
        </w:rPr>
        <w:t xml:space="preserve">، 2008)، این نیز عجیب نیست که در بررسی حاضر، ورزش با هدف تفریح با ورزش الزامی در مردان مرتبط است. با وجودی که بر اساس بیشتر مطالعات انجام شده (فرنام و همکارانش، 2002؛ مورسیا و همکارانش، 2008) زنان بیش از مردان با هدف حفظ ظاهر ورزش می کنند، </w:t>
      </w:r>
      <w:r w:rsidR="00C6274C" w:rsidRPr="003053A6">
        <w:rPr>
          <w:rFonts w:cs="B Nazanin" w:hint="cs"/>
          <w:sz w:val="28"/>
          <w:szCs w:val="28"/>
          <w:rtl/>
          <w:lang w:bidi="fa-IR"/>
        </w:rPr>
        <w:t xml:space="preserve">در بررسی انجام شده بر روی ورزشکاران دانشگاهی، هم مردان و هم زنانی که ورزش می کردند، ظاهر را به عنوان انگیزه اصلی خود برای </w:t>
      </w:r>
      <w:r w:rsidR="00E542D5" w:rsidRPr="003053A6">
        <w:rPr>
          <w:rFonts w:cs="B Nazanin" w:hint="cs"/>
          <w:sz w:val="28"/>
          <w:szCs w:val="28"/>
          <w:rtl/>
          <w:lang w:bidi="fa-IR"/>
        </w:rPr>
        <w:t>ورزش اعلام کردند (استودل</w:t>
      </w:r>
      <w:r w:rsidR="00E542D5" w:rsidRPr="003053A6">
        <w:rPr>
          <w:rStyle w:val="FootnoteReference"/>
          <w:rFonts w:cs="B Nazanin"/>
          <w:sz w:val="28"/>
          <w:szCs w:val="28"/>
          <w:rtl/>
          <w:lang w:bidi="fa-IR"/>
        </w:rPr>
        <w:footnoteReference w:id="23"/>
      </w:r>
      <w:r w:rsidR="00E542D5" w:rsidRPr="003053A6">
        <w:rPr>
          <w:rFonts w:cs="B Nazanin" w:hint="cs"/>
          <w:sz w:val="28"/>
          <w:szCs w:val="28"/>
          <w:rtl/>
          <w:lang w:bidi="fa-IR"/>
        </w:rPr>
        <w:t xml:space="preserve">، 1996). </w:t>
      </w:r>
    </w:p>
    <w:p w14:paraId="79DF758C" w14:textId="77777777" w:rsidR="003053A6" w:rsidRPr="003053A6" w:rsidRDefault="003053A6" w:rsidP="003053A6">
      <w:pPr>
        <w:bidi/>
        <w:spacing w:after="0" w:line="360" w:lineRule="auto"/>
        <w:jc w:val="both"/>
        <w:rPr>
          <w:rFonts w:cs="B Nazanin"/>
          <w:sz w:val="28"/>
          <w:szCs w:val="28"/>
          <w:rtl/>
          <w:lang w:bidi="fa-IR"/>
        </w:rPr>
      </w:pPr>
    </w:p>
    <w:p w14:paraId="0CAD76D2" w14:textId="77777777" w:rsidR="00E542D5" w:rsidRPr="003053A6" w:rsidRDefault="00E542D5"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4.3 محدودیت ها</w:t>
      </w:r>
    </w:p>
    <w:p w14:paraId="75B40C9C" w14:textId="77777777" w:rsidR="001A6728" w:rsidRPr="003053A6" w:rsidRDefault="00E542D5"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محدودیت های زیادی در این مطالعه وجود دارد که باید مورد بررسی قرار گیرند. اول، نمونه ما شامل دانشجویان است. مطالعات آتی </w:t>
      </w:r>
      <w:r w:rsidR="0074394A" w:rsidRPr="003053A6">
        <w:rPr>
          <w:rFonts w:cs="B Nazanin" w:hint="cs"/>
          <w:sz w:val="28"/>
          <w:szCs w:val="28"/>
          <w:rtl/>
          <w:lang w:bidi="fa-IR"/>
        </w:rPr>
        <w:t xml:space="preserve">با گسترش دامنه پژوهش خود به بررسی این نکته می پردازند که آیا این یافته ها هنوز در مورد جمعیت بزرگسالان صادق است یا نه. دوم، نبود تنوع در نمونه ما تعمیم دادن نتایج به غیر سفیدپوستان را دشوار می سازد. مطالعات آتی باید به بررسی این مسائل در نمونه ای متنوع تر به لحاظ سن و نژاد بپردازند. سوم این که، </w:t>
      </w:r>
      <w:r w:rsidR="0074394A" w:rsidRPr="003053A6">
        <w:rPr>
          <w:rFonts w:cs="B Nazanin" w:hint="cs"/>
          <w:sz w:val="28"/>
          <w:szCs w:val="28"/>
          <w:rtl/>
          <w:lang w:bidi="fa-IR"/>
        </w:rPr>
        <w:lastRenderedPageBreak/>
        <w:t xml:space="preserve">ماهیت مطالعه حاضر همبستگی است. مطالعات آتی باید به بررسی این مسئله بپردازد که آیا دلایل ورزش کردن پیش بینی کننده ورزش الزامی در طول زمان است یا نه. </w:t>
      </w:r>
    </w:p>
    <w:p w14:paraId="1754B0F7" w14:textId="77777777" w:rsidR="00E542D5" w:rsidRDefault="0074394A"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در نهایت، </w:t>
      </w:r>
      <w:r w:rsidR="00852902" w:rsidRPr="003053A6">
        <w:rPr>
          <w:rFonts w:cs="B Nazanin" w:hint="cs"/>
          <w:sz w:val="28"/>
          <w:szCs w:val="28"/>
          <w:rtl/>
          <w:lang w:bidi="fa-IR"/>
        </w:rPr>
        <w:t xml:space="preserve">در این تحقیق، دلایل ورزش حدود یک سوم تنوع در ورزش الزامی را به حساب می آورد. روشن است که متغیرهای دیگر بر رفتارهای ورزشی اثر می گذارند و باید در بررسی های آینده در نظر گرفته شوند. </w:t>
      </w:r>
    </w:p>
    <w:p w14:paraId="2715A39D" w14:textId="77777777" w:rsidR="003053A6" w:rsidRPr="003053A6" w:rsidRDefault="003053A6" w:rsidP="003053A6">
      <w:pPr>
        <w:bidi/>
        <w:spacing w:after="0" w:line="360" w:lineRule="auto"/>
        <w:jc w:val="both"/>
        <w:rPr>
          <w:rFonts w:cs="B Nazanin"/>
          <w:sz w:val="28"/>
          <w:szCs w:val="28"/>
          <w:rtl/>
          <w:lang w:bidi="fa-IR"/>
        </w:rPr>
      </w:pPr>
    </w:p>
    <w:p w14:paraId="04327423" w14:textId="77777777" w:rsidR="00852902" w:rsidRPr="003053A6" w:rsidRDefault="00852902"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 xml:space="preserve">4.4 نتیجه گیری </w:t>
      </w:r>
    </w:p>
    <w:p w14:paraId="1E9E1BBD" w14:textId="77777777" w:rsidR="003053A6" w:rsidRPr="003053A6" w:rsidRDefault="00852902"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به طور خلاصه، نتایج این تحقیق برای متخصصان سلامتی مفید است که با افرادی کار می کنند که علائمی از اعتیاد به ورزش را از خود بروز می دهند. ممکن است </w:t>
      </w:r>
      <w:r w:rsidR="00A97292" w:rsidRPr="003053A6">
        <w:rPr>
          <w:rFonts w:cs="B Nazanin" w:hint="cs"/>
          <w:sz w:val="28"/>
          <w:szCs w:val="28"/>
          <w:rtl/>
          <w:lang w:bidi="fa-IR"/>
        </w:rPr>
        <w:t xml:space="preserve">لازم باشد تا </w:t>
      </w:r>
      <w:r w:rsidRPr="003053A6">
        <w:rPr>
          <w:rFonts w:cs="B Nazanin" w:hint="cs"/>
          <w:sz w:val="28"/>
          <w:szCs w:val="28"/>
          <w:rtl/>
          <w:lang w:bidi="fa-IR"/>
        </w:rPr>
        <w:t xml:space="preserve">این متخصصان </w:t>
      </w:r>
      <w:r w:rsidR="00A97292" w:rsidRPr="003053A6">
        <w:rPr>
          <w:rFonts w:cs="B Nazanin" w:hint="cs"/>
          <w:sz w:val="28"/>
          <w:szCs w:val="28"/>
          <w:rtl/>
          <w:lang w:bidi="fa-IR"/>
        </w:rPr>
        <w:t xml:space="preserve">به بررسی موارد پیش بینی کننده این رفتارها و دلایل شرکت افراد در این رفتارها بپردازند. به طور خاص، اگر پزشکان و مشاوران بدانند که چه چیزی این رفتارها را در زنان و مردان پیش بینی می کند، آنان هوشیارتر شده و می فهمند که چطور این مسائل می توانند با یکدیگر ارتباط داشته باشند. از آن جا که این رفتارها </w:t>
      </w:r>
      <w:r w:rsidR="0086312E" w:rsidRPr="003053A6">
        <w:rPr>
          <w:rFonts w:cs="B Nazanin" w:hint="cs"/>
          <w:sz w:val="28"/>
          <w:szCs w:val="28"/>
          <w:rtl/>
          <w:lang w:bidi="fa-IR"/>
        </w:rPr>
        <w:t xml:space="preserve">به طور بالقوه برای سلامتی و رفاه فرد مضر است، مشاوران و پزشکان می توانند درمان هایی را برای حل موفقیت آمیز این مسائل مطرح سازند. </w:t>
      </w:r>
    </w:p>
    <w:p w14:paraId="329ADDE7" w14:textId="77777777" w:rsidR="00852902" w:rsidRPr="003053A6" w:rsidRDefault="0086312E"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نقش منابع مالی</w:t>
      </w:r>
      <w:r w:rsidR="00A97292" w:rsidRPr="003053A6">
        <w:rPr>
          <w:rFonts w:cs="B Nazanin" w:hint="cs"/>
          <w:b/>
          <w:bCs/>
          <w:sz w:val="28"/>
          <w:szCs w:val="28"/>
          <w:rtl/>
          <w:lang w:bidi="fa-IR"/>
        </w:rPr>
        <w:t xml:space="preserve"> </w:t>
      </w:r>
    </w:p>
    <w:p w14:paraId="7A3FC241" w14:textId="77777777" w:rsidR="003053A6" w:rsidRPr="003053A6" w:rsidRDefault="0086312E"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هیچ منبع مالی وجود نداشت. </w:t>
      </w:r>
    </w:p>
    <w:p w14:paraId="7B0C218F" w14:textId="77777777" w:rsidR="0086312E" w:rsidRPr="003053A6" w:rsidRDefault="0086312E"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 xml:space="preserve">همکاران </w:t>
      </w:r>
    </w:p>
    <w:p w14:paraId="1B706529" w14:textId="77777777" w:rsidR="003053A6" w:rsidRPr="003053A6" w:rsidRDefault="0086312E" w:rsidP="003053A6">
      <w:pPr>
        <w:bidi/>
        <w:spacing w:after="0" w:line="360" w:lineRule="auto"/>
        <w:jc w:val="both"/>
        <w:rPr>
          <w:rFonts w:cs="B Nazanin"/>
          <w:sz w:val="28"/>
          <w:szCs w:val="28"/>
          <w:rtl/>
          <w:lang w:bidi="fa-IR"/>
        </w:rPr>
      </w:pPr>
      <w:r w:rsidRPr="003053A6">
        <w:rPr>
          <w:rFonts w:cs="B Nazanin" w:hint="cs"/>
          <w:sz w:val="28"/>
          <w:szCs w:val="28"/>
          <w:rtl/>
          <w:lang w:bidi="fa-IR"/>
        </w:rPr>
        <w:t>بیور</w:t>
      </w:r>
      <w:r w:rsidRPr="003053A6">
        <w:rPr>
          <w:rStyle w:val="FootnoteReference"/>
          <w:rFonts w:cs="B Nazanin"/>
          <w:sz w:val="28"/>
          <w:szCs w:val="28"/>
          <w:rtl/>
          <w:lang w:bidi="fa-IR"/>
        </w:rPr>
        <w:footnoteReference w:id="24"/>
      </w:r>
      <w:r w:rsidRPr="003053A6">
        <w:rPr>
          <w:rFonts w:cs="B Nazanin" w:hint="cs"/>
          <w:sz w:val="28"/>
          <w:szCs w:val="28"/>
          <w:rtl/>
          <w:lang w:bidi="fa-IR"/>
        </w:rPr>
        <w:t xml:space="preserve"> تحقیق را طراحی و داده ها را جمع آوری کرده و بخشی از مقاله را نوشت. پریچارد به تحلیل داده ها پرداخته و بیشتر قسمت های مقاله را نوشت. تمامی نویسندگان نسخه نهایی را تأیید کردند. </w:t>
      </w:r>
    </w:p>
    <w:p w14:paraId="41E59343" w14:textId="77777777" w:rsidR="0086312E" w:rsidRPr="003053A6" w:rsidRDefault="0086312E" w:rsidP="003053A6">
      <w:pPr>
        <w:bidi/>
        <w:spacing w:after="0" w:line="360" w:lineRule="auto"/>
        <w:jc w:val="both"/>
        <w:rPr>
          <w:rFonts w:cs="B Nazanin"/>
          <w:b/>
          <w:bCs/>
          <w:sz w:val="28"/>
          <w:szCs w:val="28"/>
          <w:rtl/>
          <w:lang w:bidi="fa-IR"/>
        </w:rPr>
      </w:pPr>
      <w:r w:rsidRPr="003053A6">
        <w:rPr>
          <w:rFonts w:cs="B Nazanin" w:hint="cs"/>
          <w:b/>
          <w:bCs/>
          <w:sz w:val="28"/>
          <w:szCs w:val="28"/>
          <w:rtl/>
          <w:lang w:bidi="fa-IR"/>
        </w:rPr>
        <w:t>تضاد در علایق</w:t>
      </w:r>
    </w:p>
    <w:p w14:paraId="1F4F421D" w14:textId="77777777" w:rsidR="0086312E" w:rsidRPr="003053A6" w:rsidRDefault="0086312E" w:rsidP="003053A6">
      <w:pPr>
        <w:bidi/>
        <w:spacing w:after="0" w:line="360" w:lineRule="auto"/>
        <w:jc w:val="both"/>
        <w:rPr>
          <w:rFonts w:cs="B Nazanin"/>
          <w:sz w:val="28"/>
          <w:szCs w:val="28"/>
          <w:rtl/>
          <w:lang w:bidi="fa-IR"/>
        </w:rPr>
      </w:pPr>
      <w:r w:rsidRPr="003053A6">
        <w:rPr>
          <w:rFonts w:cs="B Nazanin" w:hint="cs"/>
          <w:sz w:val="28"/>
          <w:szCs w:val="28"/>
          <w:rtl/>
          <w:lang w:bidi="fa-IR"/>
        </w:rPr>
        <w:t xml:space="preserve">تمامی نویسندگان تصدیق می کنند که تضادی در علایق آنها وجود نداشت. </w:t>
      </w:r>
    </w:p>
    <w:p w14:paraId="3EA82508" w14:textId="77777777" w:rsidR="0086312E" w:rsidRPr="003053A6" w:rsidRDefault="0086312E" w:rsidP="003053A6">
      <w:pPr>
        <w:bidi/>
        <w:spacing w:after="0" w:line="360" w:lineRule="auto"/>
        <w:jc w:val="both"/>
        <w:rPr>
          <w:rFonts w:cs="B Nazanin"/>
          <w:sz w:val="28"/>
          <w:szCs w:val="28"/>
          <w:rtl/>
          <w:lang w:bidi="fa-IR"/>
        </w:rPr>
      </w:pPr>
    </w:p>
    <w:p w14:paraId="53A17D38" w14:textId="77777777" w:rsidR="003053A6" w:rsidRPr="003053A6" w:rsidRDefault="003053A6" w:rsidP="003053A6">
      <w:pPr>
        <w:spacing w:after="0" w:line="360" w:lineRule="auto"/>
        <w:jc w:val="both"/>
        <w:rPr>
          <w:b/>
          <w:bCs/>
          <w:sz w:val="28"/>
          <w:szCs w:val="28"/>
          <w:rtl/>
        </w:rPr>
      </w:pPr>
      <w:r w:rsidRPr="003053A6">
        <w:rPr>
          <w:b/>
          <w:bCs/>
          <w:sz w:val="28"/>
          <w:szCs w:val="28"/>
        </w:rPr>
        <w:lastRenderedPageBreak/>
        <w:t>References</w:t>
      </w:r>
    </w:p>
    <w:p w14:paraId="754DBAF6" w14:textId="77777777" w:rsidR="003053A6" w:rsidRDefault="003053A6" w:rsidP="003053A6">
      <w:pPr>
        <w:spacing w:after="0" w:line="240" w:lineRule="auto"/>
        <w:jc w:val="both"/>
        <w:rPr>
          <w:rtl/>
        </w:rPr>
      </w:pPr>
      <w:r>
        <w:t xml:space="preserve"> Ackard, D. M., Brehm, B. J., &amp; Steffen, J. J. (2002). Exercise and eating disorders in college-aged women: Profiling excessive exercisers. Eating Disorders: The Journal of Treatment &amp; Prevention, 10(1), 31–47, doi:10.1080/106402602753573540. </w:t>
      </w:r>
    </w:p>
    <w:p w14:paraId="420A659B" w14:textId="77777777" w:rsidR="003053A6" w:rsidRDefault="003053A6" w:rsidP="003053A6">
      <w:pPr>
        <w:spacing w:after="0" w:line="240" w:lineRule="auto"/>
        <w:jc w:val="both"/>
        <w:rPr>
          <w:rtl/>
        </w:rPr>
      </w:pPr>
      <w:r>
        <w:t>Adams, J., &amp; Kirby, R. J. (2001). Exercise dependence and overtraining: The physiological and psychological consequences of excessive exercise. Sports Medicine, Training &amp; Rehabilitation, 10(3), 199–222.</w:t>
      </w:r>
    </w:p>
    <w:p w14:paraId="23E8B710" w14:textId="77777777" w:rsidR="003053A6" w:rsidRDefault="003053A6" w:rsidP="003053A6">
      <w:pPr>
        <w:spacing w:after="0" w:line="240" w:lineRule="auto"/>
        <w:jc w:val="both"/>
        <w:rPr>
          <w:rtl/>
        </w:rPr>
      </w:pPr>
      <w:r>
        <w:t xml:space="preserve"> Adkins, E. C., &amp; Keel, P. K. (2005). Does “excessive” or “compulsive” best describe exercise as a symptom of bulimia nervosa? [Article]. International Journal of Eating Disorders, 38(1), 24–29, doi:10.1002/eat.20140. </w:t>
      </w:r>
    </w:p>
    <w:p w14:paraId="31C3ACCA" w14:textId="77777777" w:rsidR="003053A6" w:rsidRDefault="003053A6" w:rsidP="003053A6">
      <w:pPr>
        <w:spacing w:after="0" w:line="240" w:lineRule="auto"/>
        <w:jc w:val="both"/>
        <w:rPr>
          <w:rtl/>
        </w:rPr>
      </w:pPr>
      <w:r>
        <w:t xml:space="preserve">Brehm, B. J., &amp; Steffen, J. J. (1998). Relation between obligatory exercise and eating disorders. American Journal of Health Behavior, 22(2), 108–119. </w:t>
      </w:r>
    </w:p>
    <w:p w14:paraId="3AC8A244" w14:textId="77777777" w:rsidR="003053A6" w:rsidRDefault="003053A6" w:rsidP="003053A6">
      <w:pPr>
        <w:spacing w:after="0" w:line="240" w:lineRule="auto"/>
        <w:jc w:val="both"/>
        <w:rPr>
          <w:rtl/>
        </w:rPr>
      </w:pPr>
      <w:r>
        <w:t xml:space="preserve">Brown, J., &amp; Graham, D. (2008). Body satisfaction in gym-active males: An exploration of sexuality, gender, and narcissism. Sex Roles, 59(1–2), 94–106, doi:10.1007/s11199- 008-9416-4. </w:t>
      </w:r>
    </w:p>
    <w:p w14:paraId="3E05DF39" w14:textId="77777777" w:rsidR="003053A6" w:rsidRDefault="003053A6" w:rsidP="003053A6">
      <w:pPr>
        <w:spacing w:after="0" w:line="240" w:lineRule="auto"/>
        <w:jc w:val="both"/>
        <w:rPr>
          <w:rtl/>
        </w:rPr>
      </w:pPr>
      <w:r>
        <w:t>Bushman, B. A., &amp; Brandenburg, T. (2009). Social physique anxiety and obligation to exercise in college males and females: Exercise activity, location, and partners. Missouri Journal of Health, Physical Education, Recreation &amp; Dance, 19, 41–54.</w:t>
      </w:r>
    </w:p>
    <w:p w14:paraId="0251635B" w14:textId="77777777" w:rsidR="003053A6" w:rsidRDefault="003053A6" w:rsidP="003053A6">
      <w:pPr>
        <w:spacing w:after="0" w:line="240" w:lineRule="auto"/>
        <w:jc w:val="both"/>
        <w:rPr>
          <w:rtl/>
        </w:rPr>
      </w:pPr>
      <w:r>
        <w:t xml:space="preserve"> Chu, H. -W., Bushman, B. A., &amp; Woodard, R. J. (2008). Social physique anxiety, obligation to exercise, and exercise choices among college students. Journal of American College Health, 57(1), 7–14. </w:t>
      </w:r>
    </w:p>
    <w:p w14:paraId="075D3EC7" w14:textId="77777777" w:rsidR="003053A6" w:rsidRDefault="003053A6" w:rsidP="003053A6">
      <w:pPr>
        <w:spacing w:after="0" w:line="240" w:lineRule="auto"/>
        <w:jc w:val="both"/>
        <w:rPr>
          <w:rtl/>
        </w:rPr>
      </w:pPr>
      <w:r>
        <w:t xml:space="preserve">De Young, K. P., &amp; Anderson, D. A. (2010). The importance of the function of exercise in the relationship between obligatory exercise and eating and body image concerns. Eating Behaviors, 11(1), 62–64, doi:10.1016/j.eatbeh.2009.09.001. </w:t>
      </w:r>
    </w:p>
    <w:p w14:paraId="1F3E0BEC" w14:textId="77777777" w:rsidR="003053A6" w:rsidRDefault="003053A6" w:rsidP="003053A6">
      <w:pPr>
        <w:spacing w:after="0" w:line="240" w:lineRule="auto"/>
        <w:jc w:val="both"/>
        <w:rPr>
          <w:rtl/>
        </w:rPr>
      </w:pPr>
      <w:r>
        <w:t xml:space="preserve">Furnham, A., Badmin, N., &amp; Sneade, I. (2002). Body image dissatisfaction: Gender differences in eating attitudes, self-esteem, and reasons for exercise. Journal of Psychology, 136(6), 581–596. </w:t>
      </w:r>
    </w:p>
    <w:p w14:paraId="2A5C2CFA" w14:textId="77777777" w:rsidR="003053A6" w:rsidRDefault="003053A6" w:rsidP="003053A6">
      <w:pPr>
        <w:spacing w:after="0" w:line="240" w:lineRule="auto"/>
        <w:jc w:val="both"/>
        <w:rPr>
          <w:rtl/>
        </w:rPr>
      </w:pPr>
      <w:r>
        <w:t>Garman, J. F., Hayduk, D. M., Crider, D. A., &amp; Hodel, M. M. (2004). Occurrence of exercise dependence in a college-aged population. Journal of American College Health, 52(5), 221–228.</w:t>
      </w:r>
    </w:p>
    <w:p w14:paraId="2D362BA8" w14:textId="77777777" w:rsidR="003053A6" w:rsidRDefault="003053A6" w:rsidP="003053A6">
      <w:pPr>
        <w:spacing w:after="0" w:line="240" w:lineRule="auto"/>
        <w:jc w:val="both"/>
        <w:rPr>
          <w:rtl/>
        </w:rPr>
      </w:pPr>
      <w:r>
        <w:t xml:space="preserve"> Grieve, F. G., Jackson, L., Reece, T., Marklin, L., &amp; Delaney, A. (2008). Correlates of social physique anxiety in men. Journal of Sport Behavior, 31(4), 329–337. </w:t>
      </w:r>
    </w:p>
    <w:p w14:paraId="12358A0A" w14:textId="77777777" w:rsidR="003053A6" w:rsidRDefault="003053A6" w:rsidP="003053A6">
      <w:pPr>
        <w:spacing w:after="0" w:line="240" w:lineRule="auto"/>
        <w:jc w:val="both"/>
        <w:rPr>
          <w:rtl/>
        </w:rPr>
      </w:pPr>
      <w:r>
        <w:t xml:space="preserve">Hall, H. K., Kerr, A. W., Kozub, S. A., &amp; Finnie, S. B. (2007). Motivational antecedents of obligatory exercise: The influence of achievement goals and multidimensional perfectionism. Psychology of Sport &amp; Exercise, 8(3), 297–316. </w:t>
      </w:r>
    </w:p>
    <w:p w14:paraId="2AFD4DBB" w14:textId="77777777" w:rsidR="003053A6" w:rsidRDefault="003053A6" w:rsidP="003053A6">
      <w:pPr>
        <w:spacing w:after="0" w:line="240" w:lineRule="auto"/>
        <w:jc w:val="both"/>
        <w:rPr>
          <w:rtl/>
        </w:rPr>
      </w:pPr>
      <w:r>
        <w:t xml:space="preserve">Kolt, G. S., Driver, R. P., &amp; Giles, L. C. (2004). Why older australians participate in exercise and sport. Journal of Aging &amp; Physical Activity, 12(2), 185–198. </w:t>
      </w:r>
    </w:p>
    <w:p w14:paraId="529BC195" w14:textId="77777777" w:rsidR="003053A6" w:rsidRDefault="003053A6" w:rsidP="003053A6">
      <w:pPr>
        <w:spacing w:after="0" w:line="240" w:lineRule="auto"/>
        <w:jc w:val="both"/>
        <w:rPr>
          <w:rtl/>
        </w:rPr>
      </w:pPr>
      <w:r>
        <w:t xml:space="preserve">Mond, J. M., Hay, P. J., Rodgers, B., Owen, C., &amp; Beumont, P. J. V. (2004). Relationships between exercise behaviour, eating-disordered behaviour and quality of life in a community sample of women: When is exercise ‘excessive’? [Article]. European Eating Disorders Review, 12(4), 265–272, doi:10.1002/erv.579. </w:t>
      </w:r>
    </w:p>
    <w:p w14:paraId="3C5E4DA1" w14:textId="77777777" w:rsidR="003053A6" w:rsidRDefault="003053A6" w:rsidP="003053A6">
      <w:pPr>
        <w:spacing w:after="0" w:line="240" w:lineRule="auto"/>
        <w:jc w:val="both"/>
        <w:rPr>
          <w:rtl/>
        </w:rPr>
      </w:pPr>
      <w:r>
        <w:t xml:space="preserve">Murcia, J. A. M., Galindo, C. M., &amp; Pardo, P. M. (2008). Motivations and reasons for exercising in water: Gender and age differences in a sample of spanish exercisers. International Journal of Aquatic Research &amp; Education, 2(3), 237–246. </w:t>
      </w:r>
    </w:p>
    <w:p w14:paraId="08D4E937" w14:textId="77777777" w:rsidR="003053A6" w:rsidRDefault="003053A6" w:rsidP="003053A6">
      <w:pPr>
        <w:spacing w:after="0" w:line="240" w:lineRule="auto"/>
        <w:jc w:val="both"/>
        <w:rPr>
          <w:rtl/>
        </w:rPr>
      </w:pPr>
      <w:r>
        <w:t xml:space="preserve">Pasman, L., &amp; Thompson, J. K. (1988). Body image and eating disturbances in obligatory runners, obligatory weightlifters, and sedentary individuals. [Article]. International Journal of Eating Disorders, 7(6), 759–769. </w:t>
      </w:r>
    </w:p>
    <w:p w14:paraId="6B03A0A5" w14:textId="77777777" w:rsidR="003053A6" w:rsidRDefault="003053A6" w:rsidP="003053A6">
      <w:pPr>
        <w:spacing w:after="0" w:line="240" w:lineRule="auto"/>
        <w:jc w:val="both"/>
        <w:rPr>
          <w:rtl/>
        </w:rPr>
      </w:pPr>
      <w:r>
        <w:t>Pritchard, M. E., Parker† , C., &amp; Nielsen† , A. (2011). What predicts drive for muscularity in college students? Eating Behaviors, 12, 228–231.</w:t>
      </w:r>
    </w:p>
    <w:p w14:paraId="0536C697" w14:textId="77777777" w:rsidR="003053A6" w:rsidRDefault="003053A6" w:rsidP="003053A6">
      <w:pPr>
        <w:spacing w:after="0" w:line="240" w:lineRule="auto"/>
        <w:jc w:val="both"/>
        <w:rPr>
          <w:rtl/>
        </w:rPr>
      </w:pPr>
      <w:r>
        <w:t xml:space="preserve"> Puente, R., &amp; Anshel, M. H. (2010). Exercisers' perceptions of their fitness instructor's interacting style, perceived competence, and autonomy as a function of selfdetermined regulation to exercise, enjoyment, affect, and exercise frequency. Scandinavian Journal of Psychology, 51(1), 38–45, doi:10.1111/j.1467-9450.2009.00723.x. </w:t>
      </w:r>
    </w:p>
    <w:p w14:paraId="216D5105" w14:textId="77777777" w:rsidR="003053A6" w:rsidRDefault="003053A6" w:rsidP="003053A6">
      <w:pPr>
        <w:spacing w:after="0" w:line="240" w:lineRule="auto"/>
        <w:jc w:val="both"/>
        <w:rPr>
          <w:rtl/>
        </w:rPr>
      </w:pPr>
      <w:r>
        <w:t xml:space="preserve">Rodgers, W. M., Hall, C. R., Blanchard, C. M., &amp; Munroe, K. J. (2001). Prediction of obligatory exercise by exercise-related imagery. Psychology of Addictive Behaviors, 15(2), 152–154, doi:10.1037/0893-164x.15.2.152. </w:t>
      </w:r>
    </w:p>
    <w:p w14:paraId="79C9EF33" w14:textId="77777777" w:rsidR="003053A6" w:rsidRDefault="003053A6" w:rsidP="003053A6">
      <w:pPr>
        <w:spacing w:after="0" w:line="240" w:lineRule="auto"/>
        <w:jc w:val="both"/>
        <w:rPr>
          <w:rtl/>
        </w:rPr>
      </w:pPr>
      <w:r>
        <w:lastRenderedPageBreak/>
        <w:t xml:space="preserve">Silberstein, L. R., Striegel-Moore, R. H., Timko, C., &amp; Rodin, J. (1988). Behavioral and psychological implications of body dissatisfaction: Do men and women differ? Sex Roles, 19(3/4), 219–232. </w:t>
      </w:r>
    </w:p>
    <w:p w14:paraId="52EA752E" w14:textId="77777777" w:rsidR="003053A6" w:rsidRDefault="003053A6" w:rsidP="003053A6">
      <w:pPr>
        <w:spacing w:after="0" w:line="240" w:lineRule="auto"/>
        <w:jc w:val="both"/>
        <w:rPr>
          <w:rtl/>
        </w:rPr>
      </w:pPr>
      <w:r>
        <w:t>Smith, J. E., Wolfe, B. L., &amp; Laframboise, D. E. (2001). Body treatment for a community sample of obligatory and nonobligatory exercisers. International Journal of Eating Disorders, 30(4), 375–388, doi:10.1002/eat.1099.</w:t>
      </w:r>
    </w:p>
    <w:p w14:paraId="079E5715" w14:textId="77777777" w:rsidR="003053A6" w:rsidRDefault="003053A6" w:rsidP="003053A6">
      <w:pPr>
        <w:spacing w:after="0" w:line="240" w:lineRule="auto"/>
        <w:jc w:val="both"/>
        <w:rPr>
          <w:rtl/>
        </w:rPr>
      </w:pPr>
      <w:r>
        <w:t xml:space="preserve"> Steffen, J. J., &amp; Brehm, B. J. (1999). The dimensions of obligatory exercise. Eating Disorders, 7(3), 219. </w:t>
      </w:r>
    </w:p>
    <w:p w14:paraId="607F6D49" w14:textId="77777777" w:rsidR="003053A6" w:rsidRDefault="003053A6" w:rsidP="003053A6">
      <w:pPr>
        <w:spacing w:after="0" w:line="240" w:lineRule="auto"/>
        <w:jc w:val="both"/>
        <w:rPr>
          <w:rtl/>
        </w:rPr>
      </w:pPr>
      <w:r>
        <w:t xml:space="preserve">Stodel, E. J. (1996). Obligatory exercise and pathogenic weight control in college students. Eugene, Ore. United States: Microform Publications, Int'l Inst for Sport &amp; Human Performance, University of Oregon. </w:t>
      </w:r>
    </w:p>
    <w:p w14:paraId="13906D41" w14:textId="77777777" w:rsidR="003053A6" w:rsidRDefault="003053A6" w:rsidP="003053A6">
      <w:pPr>
        <w:spacing w:after="0" w:line="240" w:lineRule="auto"/>
        <w:jc w:val="both"/>
        <w:rPr>
          <w:rtl/>
        </w:rPr>
      </w:pPr>
      <w:r>
        <w:t>Thome, J. L., &amp; Espelage, D. L. (2007). Obligatory exercise and eating pathology in college females: Replication and development of a structural model. Eating Behaviors, 8(3), 334–349, doi:10.1016/j.eatbeh.2006.11.009.</w:t>
      </w:r>
    </w:p>
    <w:p w14:paraId="26BC0106" w14:textId="77777777" w:rsidR="00DC329C" w:rsidRPr="003053A6" w:rsidRDefault="003053A6" w:rsidP="003053A6">
      <w:pPr>
        <w:spacing w:after="0" w:line="240" w:lineRule="auto"/>
        <w:jc w:val="both"/>
        <w:rPr>
          <w:rFonts w:cs="B Nazanin"/>
          <w:sz w:val="28"/>
          <w:szCs w:val="28"/>
          <w:rtl/>
          <w:lang w:bidi="fa-IR"/>
        </w:rPr>
      </w:pPr>
      <w:r>
        <w:t xml:space="preserve"> Van Niekerk, R. L. (2010). Understanding the barriers to and reasons for physical exercise among university students. African Journal for Physical, Health Education, Recreation &amp; Dance, 172–181.</w:t>
      </w:r>
    </w:p>
    <w:sectPr w:rsidR="00DC329C" w:rsidRPr="003053A6" w:rsidSect="003053A6">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567A" w14:textId="77777777" w:rsidR="00861597" w:rsidRDefault="00861597" w:rsidP="00D5024A">
      <w:pPr>
        <w:spacing w:after="0" w:line="240" w:lineRule="auto"/>
      </w:pPr>
      <w:r>
        <w:separator/>
      </w:r>
    </w:p>
  </w:endnote>
  <w:endnote w:type="continuationSeparator" w:id="0">
    <w:p w14:paraId="3195BB8E" w14:textId="77777777" w:rsidR="00861597" w:rsidRDefault="00861597" w:rsidP="00D5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DD3E" w14:textId="77777777" w:rsidR="00861597" w:rsidRDefault="00861597" w:rsidP="00D5024A">
      <w:pPr>
        <w:spacing w:after="0" w:line="240" w:lineRule="auto"/>
      </w:pPr>
      <w:r>
        <w:separator/>
      </w:r>
    </w:p>
  </w:footnote>
  <w:footnote w:type="continuationSeparator" w:id="0">
    <w:p w14:paraId="511ADE49" w14:textId="77777777" w:rsidR="00861597" w:rsidRDefault="00861597" w:rsidP="00D5024A">
      <w:pPr>
        <w:spacing w:after="0" w:line="240" w:lineRule="auto"/>
      </w:pPr>
      <w:r>
        <w:continuationSeparator/>
      </w:r>
    </w:p>
  </w:footnote>
  <w:footnote w:id="1">
    <w:p w14:paraId="525B58C7" w14:textId="77777777" w:rsidR="0096180C" w:rsidRPr="0096180C" w:rsidRDefault="0096180C">
      <w:pPr>
        <w:pStyle w:val="FootnoteText"/>
        <w:rPr>
          <w:rtl/>
          <w:lang w:bidi="fa-IR"/>
        </w:rPr>
      </w:pPr>
      <w:r w:rsidRPr="0096180C">
        <w:rPr>
          <w:rStyle w:val="FootnoteReference"/>
        </w:rPr>
        <w:footnoteRef/>
      </w:r>
      <w:r w:rsidRPr="0096180C">
        <w:t xml:space="preserve"> </w:t>
      </w:r>
      <w:r w:rsidRPr="0096180C">
        <w:rPr>
          <w:rFonts w:ascii="AdvTT5235d5a9" w:hAnsi="AdvTT5235d5a9" w:cs="AdvTT5235d5a9"/>
        </w:rPr>
        <w:t>Ackard, Brehm, &amp; Steffen</w:t>
      </w:r>
    </w:p>
  </w:footnote>
  <w:footnote w:id="2">
    <w:p w14:paraId="1569B30C" w14:textId="77777777" w:rsidR="00B36909" w:rsidRDefault="00B36909">
      <w:pPr>
        <w:pStyle w:val="FootnoteText"/>
        <w:rPr>
          <w:rtl/>
          <w:lang w:bidi="fa-IR"/>
        </w:rPr>
      </w:pPr>
      <w:r w:rsidRPr="00B36909">
        <w:rPr>
          <w:rStyle w:val="FootnoteReference"/>
        </w:rPr>
        <w:footnoteRef/>
      </w:r>
      <w:r w:rsidRPr="00B36909">
        <w:t xml:space="preserve"> </w:t>
      </w:r>
      <w:r w:rsidRPr="00B36909">
        <w:rPr>
          <w:rFonts w:ascii="AdvTT5235d5a9" w:hAnsi="AdvTT5235d5a9" w:cs="AdvTT5235d5a9"/>
        </w:rPr>
        <w:t>Adams &amp; Kirby</w:t>
      </w:r>
    </w:p>
  </w:footnote>
  <w:footnote w:id="3">
    <w:p w14:paraId="1306844A" w14:textId="77777777" w:rsidR="008553A8" w:rsidRDefault="008553A8">
      <w:pPr>
        <w:pStyle w:val="FootnoteText"/>
        <w:rPr>
          <w:rtl/>
          <w:lang w:bidi="fa-IR"/>
        </w:rPr>
      </w:pPr>
      <w:r>
        <w:rPr>
          <w:rStyle w:val="FootnoteReference"/>
        </w:rPr>
        <w:footnoteRef/>
      </w:r>
      <w:r>
        <w:t xml:space="preserve"> </w:t>
      </w:r>
      <w:r w:rsidRPr="008553A8">
        <w:rPr>
          <w:rFonts w:ascii="AdvTT5235d5a9" w:hAnsi="AdvTT5235d5a9" w:cs="AdvTT5235d5a9"/>
        </w:rPr>
        <w:t>Thome &amp; Espelage</w:t>
      </w:r>
    </w:p>
  </w:footnote>
  <w:footnote w:id="4">
    <w:p w14:paraId="7C0DD5CF" w14:textId="77777777" w:rsidR="008553A8" w:rsidRPr="00491F87" w:rsidRDefault="008553A8">
      <w:pPr>
        <w:pStyle w:val="FootnoteText"/>
        <w:rPr>
          <w:rtl/>
          <w:lang w:bidi="fa-IR"/>
        </w:rPr>
      </w:pPr>
      <w:r>
        <w:rPr>
          <w:rStyle w:val="FootnoteReference"/>
        </w:rPr>
        <w:footnoteRef/>
      </w:r>
      <w:r>
        <w:t xml:space="preserve"> </w:t>
      </w:r>
      <w:r w:rsidRPr="00491F87">
        <w:rPr>
          <w:rFonts w:ascii="AdvTT5235d5a9" w:hAnsi="AdvTT5235d5a9" w:cs="AdvTT5235d5a9"/>
        </w:rPr>
        <w:t>Hall, Kerr, Kozub, &amp; Finnie</w:t>
      </w:r>
    </w:p>
  </w:footnote>
  <w:footnote w:id="5">
    <w:p w14:paraId="39D0589E" w14:textId="77777777" w:rsidR="00491F87" w:rsidRPr="00491F87" w:rsidRDefault="00491F87" w:rsidP="00491F87">
      <w:pPr>
        <w:autoSpaceDE w:val="0"/>
        <w:autoSpaceDN w:val="0"/>
        <w:adjustRightInd w:val="0"/>
        <w:spacing w:after="0" w:line="240" w:lineRule="auto"/>
        <w:rPr>
          <w:rFonts w:ascii="AdvTT5235d5a9" w:hAnsi="AdvTT5235d5a9" w:cs="AdvTT5235d5a9"/>
          <w:color w:val="0000FF"/>
          <w:sz w:val="26"/>
          <w:szCs w:val="26"/>
          <w:rtl/>
        </w:rPr>
      </w:pPr>
      <w:r w:rsidRPr="00491F87">
        <w:rPr>
          <w:rStyle w:val="FootnoteReference"/>
          <w:sz w:val="20"/>
          <w:szCs w:val="20"/>
        </w:rPr>
        <w:footnoteRef/>
      </w:r>
      <w:r w:rsidRPr="00491F87">
        <w:rPr>
          <w:sz w:val="20"/>
          <w:szCs w:val="20"/>
        </w:rPr>
        <w:t xml:space="preserve"> </w:t>
      </w:r>
      <w:r w:rsidRPr="00491F87">
        <w:rPr>
          <w:rFonts w:ascii="AdvTT5235d5a9" w:hAnsi="AdvTT5235d5a9" w:cs="AdvTT5235d5a9"/>
          <w:sz w:val="20"/>
          <w:szCs w:val="20"/>
        </w:rPr>
        <w:t>Rodgers, Hall, Blanchard, &amp; Munroe</w:t>
      </w:r>
    </w:p>
  </w:footnote>
  <w:footnote w:id="6">
    <w:p w14:paraId="08E466F7" w14:textId="77777777" w:rsidR="00DF0F45" w:rsidRPr="00A67C22" w:rsidRDefault="00DF0F45">
      <w:pPr>
        <w:pStyle w:val="FootnoteText"/>
        <w:rPr>
          <w:rtl/>
          <w:lang w:bidi="fa-IR"/>
        </w:rPr>
      </w:pPr>
      <w:r>
        <w:rPr>
          <w:rStyle w:val="FootnoteReference"/>
        </w:rPr>
        <w:footnoteRef/>
      </w:r>
      <w:r>
        <w:t xml:space="preserve"> </w:t>
      </w:r>
      <w:r w:rsidRPr="00A67C22">
        <w:rPr>
          <w:rFonts w:ascii="AdvTT5235d5a9" w:hAnsi="AdvTT5235d5a9" w:cs="AdvTT5235d5a9"/>
        </w:rPr>
        <w:t>Furnham, Badmin, &amp; Sneade</w:t>
      </w:r>
    </w:p>
  </w:footnote>
  <w:footnote w:id="7">
    <w:p w14:paraId="3D4EC2BC" w14:textId="77777777" w:rsidR="00A67C22" w:rsidRPr="00A67C22" w:rsidRDefault="00A67C22">
      <w:pPr>
        <w:pStyle w:val="FootnoteText"/>
        <w:rPr>
          <w:rtl/>
          <w:lang w:bidi="fa-IR"/>
        </w:rPr>
      </w:pPr>
      <w:r w:rsidRPr="00A67C22">
        <w:rPr>
          <w:rStyle w:val="FootnoteReference"/>
        </w:rPr>
        <w:footnoteRef/>
      </w:r>
      <w:r w:rsidRPr="00A67C22">
        <w:t xml:space="preserve"> </w:t>
      </w:r>
      <w:r w:rsidRPr="00A67C22">
        <w:rPr>
          <w:rFonts w:ascii="AdvTT5235d5a9" w:hAnsi="AdvTT5235d5a9" w:cs="AdvTT5235d5a9"/>
        </w:rPr>
        <w:t>Murcia, Galindo, &amp; Pardo</w:t>
      </w:r>
    </w:p>
  </w:footnote>
  <w:footnote w:id="8">
    <w:p w14:paraId="11917832" w14:textId="77777777" w:rsidR="00A67C22" w:rsidRPr="00A67C22" w:rsidRDefault="00A67C22">
      <w:pPr>
        <w:pStyle w:val="FootnoteText"/>
        <w:rPr>
          <w:rtl/>
          <w:lang w:bidi="fa-IR"/>
        </w:rPr>
      </w:pPr>
      <w:r w:rsidRPr="00A67C22">
        <w:rPr>
          <w:rStyle w:val="FootnoteReference"/>
        </w:rPr>
        <w:footnoteRef/>
      </w:r>
      <w:r w:rsidRPr="00A67C22">
        <w:t xml:space="preserve"> </w:t>
      </w:r>
      <w:r w:rsidRPr="00A67C22">
        <w:rPr>
          <w:rFonts w:ascii="AdvTT5235d5a9" w:hAnsi="AdvTT5235d5a9" w:cs="AdvTT5235d5a9"/>
        </w:rPr>
        <w:t>Van Niekerk</w:t>
      </w:r>
    </w:p>
  </w:footnote>
  <w:footnote w:id="9">
    <w:p w14:paraId="14BCDE19" w14:textId="77777777" w:rsidR="00576F0A" w:rsidRPr="00576F0A" w:rsidRDefault="00576F0A">
      <w:pPr>
        <w:pStyle w:val="FootnoteText"/>
        <w:rPr>
          <w:rtl/>
          <w:lang w:bidi="fa-IR"/>
        </w:rPr>
      </w:pPr>
      <w:r w:rsidRPr="00576F0A">
        <w:rPr>
          <w:rStyle w:val="FootnoteReference"/>
        </w:rPr>
        <w:footnoteRef/>
      </w:r>
      <w:r w:rsidRPr="00576F0A">
        <w:t xml:space="preserve"> </w:t>
      </w:r>
      <w:r w:rsidRPr="00576F0A">
        <w:rPr>
          <w:rFonts w:ascii="AdvTT5235d5a9" w:hAnsi="AdvTT5235d5a9" w:cs="AdvTT5235d5a9"/>
        </w:rPr>
        <w:t>Pasman &amp; Thompson</w:t>
      </w:r>
    </w:p>
  </w:footnote>
  <w:footnote w:id="10">
    <w:p w14:paraId="2CA126F2" w14:textId="77777777" w:rsidR="00670D0E" w:rsidRDefault="00670D0E">
      <w:pPr>
        <w:pStyle w:val="FootnoteText"/>
        <w:rPr>
          <w:rtl/>
          <w:lang w:bidi="fa-IR"/>
        </w:rPr>
      </w:pPr>
      <w:r>
        <w:rPr>
          <w:rStyle w:val="FootnoteReference"/>
        </w:rPr>
        <w:footnoteRef/>
      </w:r>
      <w:r>
        <w:t xml:space="preserve"> </w:t>
      </w:r>
      <w:r w:rsidRPr="00670D0E">
        <w:rPr>
          <w:rFonts w:ascii="AdvTT5235d5a9" w:hAnsi="AdvTT5235d5a9" w:cs="AdvTT5235d5a9"/>
          <w:color w:val="000000"/>
        </w:rPr>
        <w:t>Likert scale</w:t>
      </w:r>
    </w:p>
  </w:footnote>
  <w:footnote w:id="11">
    <w:p w14:paraId="3D5FDECA" w14:textId="77777777" w:rsidR="002B5097" w:rsidRPr="002B5097" w:rsidRDefault="002B5097" w:rsidP="002B5097">
      <w:pPr>
        <w:autoSpaceDE w:val="0"/>
        <w:autoSpaceDN w:val="0"/>
        <w:adjustRightInd w:val="0"/>
        <w:spacing w:after="0" w:line="240" w:lineRule="auto"/>
        <w:rPr>
          <w:rFonts w:ascii="AdvTT5235d5a9" w:hAnsi="AdvTT5235d5a9" w:cs="AdvTT5235d5a9"/>
          <w:color w:val="0000FF"/>
          <w:sz w:val="26"/>
          <w:szCs w:val="26"/>
          <w:rtl/>
        </w:rPr>
      </w:pPr>
      <w:r>
        <w:rPr>
          <w:rStyle w:val="FootnoteReference"/>
        </w:rPr>
        <w:footnoteRef/>
      </w:r>
      <w:r>
        <w:t xml:space="preserve"> </w:t>
      </w:r>
      <w:r w:rsidRPr="002B5097">
        <w:rPr>
          <w:rFonts w:ascii="AdvTT5235d5a9" w:hAnsi="AdvTT5235d5a9" w:cs="AdvTT5235d5a9"/>
          <w:sz w:val="20"/>
          <w:szCs w:val="20"/>
        </w:rPr>
        <w:t>Silberstein, Striegel-Moore, Timko, &amp; Rodin</w:t>
      </w:r>
    </w:p>
  </w:footnote>
  <w:footnote w:id="12">
    <w:p w14:paraId="21F2D329" w14:textId="77777777" w:rsidR="00B97EDA" w:rsidRPr="00B97EDA" w:rsidRDefault="00B97EDA">
      <w:pPr>
        <w:pStyle w:val="FootnoteText"/>
        <w:rPr>
          <w:rtl/>
          <w:lang w:bidi="fa-IR"/>
        </w:rPr>
      </w:pPr>
      <w:r>
        <w:rPr>
          <w:rStyle w:val="FootnoteReference"/>
        </w:rPr>
        <w:footnoteRef/>
      </w:r>
      <w:r>
        <w:t xml:space="preserve"> </w:t>
      </w:r>
      <w:r w:rsidRPr="00B97EDA">
        <w:rPr>
          <w:rFonts w:ascii="AdvTT5235d5a9" w:hAnsi="AdvTT5235d5a9" w:cs="AdvTT5235d5a9"/>
        </w:rPr>
        <w:t>Bushman &amp; Brandenburg</w:t>
      </w:r>
    </w:p>
  </w:footnote>
  <w:footnote w:id="13">
    <w:p w14:paraId="7B9B9552" w14:textId="77777777" w:rsidR="00B97EDA" w:rsidRDefault="00B97EDA">
      <w:pPr>
        <w:pStyle w:val="FootnoteText"/>
        <w:rPr>
          <w:rtl/>
          <w:lang w:bidi="fa-IR"/>
        </w:rPr>
      </w:pPr>
      <w:r w:rsidRPr="00B97EDA">
        <w:rPr>
          <w:rStyle w:val="FootnoteReference"/>
        </w:rPr>
        <w:footnoteRef/>
      </w:r>
      <w:r w:rsidRPr="00B97EDA">
        <w:t xml:space="preserve"> </w:t>
      </w:r>
      <w:r w:rsidRPr="00B97EDA">
        <w:rPr>
          <w:rFonts w:ascii="AdvTT5235d5a9" w:hAnsi="AdvTT5235d5a9" w:cs="AdvTT5235d5a9"/>
        </w:rPr>
        <w:t>Chu, Bushman, &amp; Woodard</w:t>
      </w:r>
    </w:p>
  </w:footnote>
  <w:footnote w:id="14">
    <w:p w14:paraId="1ABC6B4B" w14:textId="77777777" w:rsidR="00021E95" w:rsidRPr="00021E95" w:rsidRDefault="00021E95">
      <w:pPr>
        <w:pStyle w:val="FootnoteText"/>
        <w:rPr>
          <w:color w:val="000000" w:themeColor="text1"/>
          <w:rtl/>
          <w:lang w:bidi="fa-IR"/>
        </w:rPr>
      </w:pPr>
      <w:r>
        <w:rPr>
          <w:rStyle w:val="FootnoteReference"/>
        </w:rPr>
        <w:footnoteRef/>
      </w:r>
      <w:r>
        <w:t xml:space="preserve"> </w:t>
      </w:r>
      <w:r w:rsidRPr="00021E95">
        <w:rPr>
          <w:rFonts w:ascii="AdvTT5235d5a9" w:hAnsi="AdvTT5235d5a9" w:cs="AdvTT5235d5a9"/>
          <w:color w:val="000000" w:themeColor="text1"/>
        </w:rPr>
        <w:t>Mond, Hay, Rodgers, Owen, &amp; Beumont</w:t>
      </w:r>
    </w:p>
  </w:footnote>
  <w:footnote w:id="15">
    <w:p w14:paraId="496CE381" w14:textId="77777777" w:rsidR="00021E95" w:rsidRDefault="00021E95">
      <w:pPr>
        <w:pStyle w:val="FootnoteText"/>
        <w:rPr>
          <w:rtl/>
          <w:lang w:bidi="fa-IR"/>
        </w:rPr>
      </w:pPr>
      <w:r w:rsidRPr="00021E95">
        <w:rPr>
          <w:rStyle w:val="FootnoteReference"/>
          <w:color w:val="000000" w:themeColor="text1"/>
        </w:rPr>
        <w:footnoteRef/>
      </w:r>
      <w:r w:rsidRPr="00021E95">
        <w:rPr>
          <w:color w:val="000000" w:themeColor="text1"/>
        </w:rPr>
        <w:t xml:space="preserve"> </w:t>
      </w:r>
      <w:r w:rsidRPr="00021E95">
        <w:rPr>
          <w:rFonts w:ascii="AdvTT5235d5a9" w:hAnsi="AdvTT5235d5a9" w:cs="AdvTT5235d5a9"/>
          <w:color w:val="000000" w:themeColor="text1"/>
        </w:rPr>
        <w:t>Adkins &amp; Keel</w:t>
      </w:r>
    </w:p>
  </w:footnote>
  <w:footnote w:id="16">
    <w:p w14:paraId="71609BBC" w14:textId="77777777" w:rsidR="00484F34" w:rsidRPr="00484F34" w:rsidRDefault="00484F34" w:rsidP="00484F34">
      <w:pPr>
        <w:autoSpaceDE w:val="0"/>
        <w:autoSpaceDN w:val="0"/>
        <w:adjustRightInd w:val="0"/>
        <w:spacing w:after="0" w:line="240" w:lineRule="auto"/>
        <w:rPr>
          <w:rFonts w:ascii="AdvTT5235d5a9" w:hAnsi="AdvTT5235d5a9" w:cs="AdvTT5235d5a9"/>
          <w:sz w:val="20"/>
          <w:szCs w:val="20"/>
          <w:rtl/>
        </w:rPr>
      </w:pPr>
      <w:r>
        <w:rPr>
          <w:rStyle w:val="FootnoteReference"/>
        </w:rPr>
        <w:footnoteRef/>
      </w:r>
      <w:r>
        <w:t xml:space="preserve"> </w:t>
      </w:r>
      <w:r w:rsidRPr="00484F34">
        <w:rPr>
          <w:rFonts w:ascii="AdvTT5235d5a9" w:hAnsi="AdvTT5235d5a9" w:cs="AdvTT5235d5a9"/>
          <w:sz w:val="20"/>
          <w:szCs w:val="20"/>
        </w:rPr>
        <w:t>Kolt,</w:t>
      </w:r>
      <w:r w:rsidRPr="00484F34">
        <w:rPr>
          <w:rFonts w:ascii="AdvTT5235d5a9" w:hAnsi="AdvTT5235d5a9" w:hint="cs"/>
          <w:sz w:val="20"/>
          <w:szCs w:val="20"/>
          <w:rtl/>
          <w:lang w:bidi="fa-IR"/>
        </w:rPr>
        <w:t xml:space="preserve"> </w:t>
      </w:r>
      <w:r w:rsidRPr="00484F34">
        <w:rPr>
          <w:rFonts w:ascii="AdvTT5235d5a9" w:hAnsi="AdvTT5235d5a9" w:cs="AdvTT5235d5a9"/>
          <w:sz w:val="20"/>
          <w:szCs w:val="20"/>
        </w:rPr>
        <w:t>Driver, &amp; Giles</w:t>
      </w:r>
    </w:p>
  </w:footnote>
  <w:footnote w:id="17">
    <w:p w14:paraId="22436D44" w14:textId="77777777" w:rsidR="00484F34" w:rsidRPr="00484F34" w:rsidRDefault="00484F34">
      <w:pPr>
        <w:pStyle w:val="FootnoteText"/>
        <w:rPr>
          <w:rtl/>
          <w:lang w:bidi="fa-IR"/>
        </w:rPr>
      </w:pPr>
      <w:r w:rsidRPr="00484F34">
        <w:rPr>
          <w:rStyle w:val="FootnoteReference"/>
        </w:rPr>
        <w:footnoteRef/>
      </w:r>
      <w:r w:rsidRPr="00484F34">
        <w:t xml:space="preserve"> </w:t>
      </w:r>
      <w:r w:rsidRPr="00484F34">
        <w:rPr>
          <w:rFonts w:ascii="AdvTT5235d5a9" w:hAnsi="AdvTT5235d5a9" w:cs="AdvTT5235d5a9"/>
        </w:rPr>
        <w:t>Murcia</w:t>
      </w:r>
    </w:p>
  </w:footnote>
  <w:footnote w:id="18">
    <w:p w14:paraId="0FC387D2" w14:textId="77777777" w:rsidR="00484F34" w:rsidRPr="00484F34" w:rsidRDefault="00484F34" w:rsidP="00484F34">
      <w:pPr>
        <w:autoSpaceDE w:val="0"/>
        <w:autoSpaceDN w:val="0"/>
        <w:adjustRightInd w:val="0"/>
        <w:spacing w:after="0" w:line="240" w:lineRule="auto"/>
        <w:rPr>
          <w:rFonts w:ascii="AdvTT5235d5a9" w:hAnsi="AdvTT5235d5a9" w:cs="AdvTT5235d5a9"/>
          <w:color w:val="0000FF"/>
          <w:sz w:val="26"/>
          <w:szCs w:val="26"/>
          <w:rtl/>
        </w:rPr>
      </w:pPr>
      <w:r w:rsidRPr="00484F34">
        <w:rPr>
          <w:rStyle w:val="FootnoteReference"/>
          <w:sz w:val="20"/>
          <w:szCs w:val="20"/>
        </w:rPr>
        <w:footnoteRef/>
      </w:r>
      <w:r w:rsidRPr="00484F34">
        <w:rPr>
          <w:sz w:val="20"/>
          <w:szCs w:val="20"/>
        </w:rPr>
        <w:t xml:space="preserve"> </w:t>
      </w:r>
      <w:r w:rsidRPr="00484F34">
        <w:rPr>
          <w:rFonts w:ascii="AdvTT5235d5a9" w:hAnsi="AdvTT5235d5a9" w:cs="AdvTT5235d5a9"/>
          <w:sz w:val="20"/>
          <w:szCs w:val="20"/>
        </w:rPr>
        <w:t>Smith, Wolfe,</w:t>
      </w:r>
      <w:r w:rsidRPr="00484F34">
        <w:rPr>
          <w:rFonts w:ascii="AdvTT5235d5a9" w:hAnsi="AdvTT5235d5a9" w:hint="cs"/>
          <w:sz w:val="20"/>
          <w:szCs w:val="20"/>
          <w:rtl/>
          <w:lang w:bidi="fa-IR"/>
        </w:rPr>
        <w:t xml:space="preserve"> </w:t>
      </w:r>
      <w:r w:rsidRPr="00484F34">
        <w:rPr>
          <w:rFonts w:ascii="AdvTT5235d5a9" w:hAnsi="AdvTT5235d5a9" w:cs="AdvTT5235d5a9"/>
          <w:sz w:val="20"/>
          <w:szCs w:val="20"/>
        </w:rPr>
        <w:t>&amp; Laframboise</w:t>
      </w:r>
    </w:p>
  </w:footnote>
  <w:footnote w:id="19">
    <w:p w14:paraId="5B3E4D04" w14:textId="77777777" w:rsidR="00353C04" w:rsidRPr="008A0336" w:rsidRDefault="00353C04">
      <w:pPr>
        <w:pStyle w:val="FootnoteText"/>
        <w:rPr>
          <w:rtl/>
          <w:lang w:bidi="fa-IR"/>
        </w:rPr>
      </w:pPr>
      <w:r>
        <w:rPr>
          <w:rStyle w:val="FootnoteReference"/>
        </w:rPr>
        <w:footnoteRef/>
      </w:r>
      <w:r>
        <w:t xml:space="preserve"> </w:t>
      </w:r>
      <w:r w:rsidRPr="008A0336">
        <w:rPr>
          <w:rFonts w:ascii="AdvTT5235d5a9" w:hAnsi="AdvTT5235d5a9" w:cs="AdvTT5235d5a9"/>
        </w:rPr>
        <w:t>Pritchard, Parker</w:t>
      </w:r>
      <w:r w:rsidRPr="008A0336">
        <w:rPr>
          <w:rFonts w:ascii="AdvTT5235d5a9+20" w:hAnsi="AdvTT5235d5a9+20" w:cs="AdvTT5235d5a9+20"/>
        </w:rPr>
        <w:t>†</w:t>
      </w:r>
      <w:r w:rsidRPr="008A0336">
        <w:rPr>
          <w:rFonts w:ascii="AdvTT5235d5a9" w:hAnsi="AdvTT5235d5a9" w:cs="AdvTT5235d5a9"/>
        </w:rPr>
        <w:t>, and Nielsen</w:t>
      </w:r>
      <w:r w:rsidRPr="008A0336">
        <w:rPr>
          <w:rFonts w:ascii="AdvTT5235d5a9+20" w:hAnsi="AdvTT5235d5a9+20" w:cs="AdvTT5235d5a9+20"/>
        </w:rPr>
        <w:t>†</w:t>
      </w:r>
    </w:p>
  </w:footnote>
  <w:footnote w:id="20">
    <w:p w14:paraId="001D8878" w14:textId="77777777" w:rsidR="008A0336" w:rsidRPr="008A0336" w:rsidRDefault="008A0336">
      <w:pPr>
        <w:pStyle w:val="FootnoteText"/>
        <w:rPr>
          <w:rtl/>
          <w:lang w:bidi="fa-IR"/>
        </w:rPr>
      </w:pPr>
      <w:r w:rsidRPr="008A0336">
        <w:rPr>
          <w:rStyle w:val="FootnoteReference"/>
        </w:rPr>
        <w:footnoteRef/>
      </w:r>
      <w:r w:rsidRPr="008A0336">
        <w:t xml:space="preserve"> </w:t>
      </w:r>
      <w:r w:rsidRPr="008A0336">
        <w:rPr>
          <w:rFonts w:ascii="AdvTT5235d5a9" w:hAnsi="AdvTT5235d5a9" w:cs="AdvTT5235d5a9"/>
        </w:rPr>
        <w:t>Grieve, Jackson, Reece, Marklin, &amp; Delaney</w:t>
      </w:r>
    </w:p>
  </w:footnote>
  <w:footnote w:id="21">
    <w:p w14:paraId="08091A4C" w14:textId="77777777" w:rsidR="00C86085" w:rsidRDefault="00C86085">
      <w:pPr>
        <w:pStyle w:val="FootnoteText"/>
        <w:rPr>
          <w:rtl/>
          <w:lang w:bidi="fa-IR"/>
        </w:rPr>
      </w:pPr>
      <w:r>
        <w:rPr>
          <w:rStyle w:val="FootnoteReference"/>
        </w:rPr>
        <w:footnoteRef/>
      </w:r>
      <w:r>
        <w:t xml:space="preserve"> </w:t>
      </w:r>
      <w:r w:rsidRPr="00C86085">
        <w:rPr>
          <w:rFonts w:ascii="AdvTT5235d5a9" w:hAnsi="AdvTT5235d5a9" w:cs="AdvTT5235d5a9"/>
        </w:rPr>
        <w:t>Puente &amp; Anshel</w:t>
      </w:r>
    </w:p>
  </w:footnote>
  <w:footnote w:id="22">
    <w:p w14:paraId="604279A6" w14:textId="77777777" w:rsidR="00C86085" w:rsidRDefault="00C86085">
      <w:pPr>
        <w:pStyle w:val="FootnoteText"/>
        <w:rPr>
          <w:rtl/>
          <w:lang w:bidi="fa-IR"/>
        </w:rPr>
      </w:pPr>
      <w:r>
        <w:rPr>
          <w:rStyle w:val="FootnoteReference"/>
        </w:rPr>
        <w:footnoteRef/>
      </w:r>
      <w:r>
        <w:t xml:space="preserve"> </w:t>
      </w:r>
      <w:r w:rsidRPr="00C86085">
        <w:rPr>
          <w:rFonts w:ascii="AdvTT5235d5a9" w:hAnsi="AdvTT5235d5a9" w:cs="AdvTT5235d5a9"/>
        </w:rPr>
        <w:t>Brown &amp; Graham</w:t>
      </w:r>
    </w:p>
  </w:footnote>
  <w:footnote w:id="23">
    <w:p w14:paraId="7141CBAE" w14:textId="77777777" w:rsidR="00E542D5" w:rsidRDefault="00E542D5">
      <w:pPr>
        <w:pStyle w:val="FootnoteText"/>
        <w:rPr>
          <w:rtl/>
          <w:lang w:bidi="fa-IR"/>
        </w:rPr>
      </w:pPr>
      <w:r>
        <w:rPr>
          <w:rStyle w:val="FootnoteReference"/>
        </w:rPr>
        <w:footnoteRef/>
      </w:r>
      <w:r>
        <w:t xml:space="preserve"> </w:t>
      </w:r>
      <w:r>
        <w:rPr>
          <w:lang w:bidi="fa-IR"/>
        </w:rPr>
        <w:t xml:space="preserve">Stodel </w:t>
      </w:r>
    </w:p>
  </w:footnote>
  <w:footnote w:id="24">
    <w:p w14:paraId="042FC2D5" w14:textId="77777777" w:rsidR="0086312E" w:rsidRDefault="0086312E">
      <w:pPr>
        <w:pStyle w:val="FootnoteText"/>
        <w:rPr>
          <w:rtl/>
          <w:lang w:bidi="fa-IR"/>
        </w:rPr>
      </w:pPr>
      <w:r>
        <w:rPr>
          <w:rStyle w:val="FootnoteReference"/>
        </w:rPr>
        <w:footnoteRef/>
      </w:r>
      <w:r>
        <w:t xml:space="preserve"> </w:t>
      </w:r>
      <w:r w:rsidRPr="0086312E">
        <w:rPr>
          <w:rFonts w:ascii="AdvTT5235d5a9" w:hAnsi="AdvTT5235d5a9" w:cs="AdvTT5235d5a9"/>
          <w:color w:val="000000"/>
        </w:rPr>
        <w:t>Beaver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24A"/>
    <w:rsid w:val="00021E95"/>
    <w:rsid w:val="00024ACB"/>
    <w:rsid w:val="0006319C"/>
    <w:rsid w:val="000C3315"/>
    <w:rsid w:val="001249DF"/>
    <w:rsid w:val="001A6728"/>
    <w:rsid w:val="001B40E3"/>
    <w:rsid w:val="001F16A6"/>
    <w:rsid w:val="00252C4C"/>
    <w:rsid w:val="002B5097"/>
    <w:rsid w:val="003053A6"/>
    <w:rsid w:val="00353C04"/>
    <w:rsid w:val="003B0539"/>
    <w:rsid w:val="00484F34"/>
    <w:rsid w:val="00491F87"/>
    <w:rsid w:val="0052247C"/>
    <w:rsid w:val="0053524C"/>
    <w:rsid w:val="0053633E"/>
    <w:rsid w:val="00553A3D"/>
    <w:rsid w:val="00576F0A"/>
    <w:rsid w:val="006705C2"/>
    <w:rsid w:val="00670D0E"/>
    <w:rsid w:val="0074394A"/>
    <w:rsid w:val="007469F1"/>
    <w:rsid w:val="00852902"/>
    <w:rsid w:val="008553A8"/>
    <w:rsid w:val="00861597"/>
    <w:rsid w:val="0086312E"/>
    <w:rsid w:val="008A0336"/>
    <w:rsid w:val="0096180C"/>
    <w:rsid w:val="00A67C22"/>
    <w:rsid w:val="00A97292"/>
    <w:rsid w:val="00B36909"/>
    <w:rsid w:val="00B97EDA"/>
    <w:rsid w:val="00C03EF4"/>
    <w:rsid w:val="00C3476B"/>
    <w:rsid w:val="00C6274C"/>
    <w:rsid w:val="00C86085"/>
    <w:rsid w:val="00CA2A57"/>
    <w:rsid w:val="00CD4E13"/>
    <w:rsid w:val="00CF0201"/>
    <w:rsid w:val="00D25D10"/>
    <w:rsid w:val="00D5024A"/>
    <w:rsid w:val="00D614A4"/>
    <w:rsid w:val="00D93E8F"/>
    <w:rsid w:val="00DC329C"/>
    <w:rsid w:val="00DF0F45"/>
    <w:rsid w:val="00E31306"/>
    <w:rsid w:val="00E367AE"/>
    <w:rsid w:val="00E42CB6"/>
    <w:rsid w:val="00E542D5"/>
    <w:rsid w:val="00EC7A87"/>
    <w:rsid w:val="00ED3744"/>
    <w:rsid w:val="00F2510F"/>
    <w:rsid w:val="00F32868"/>
    <w:rsid w:val="00FC1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6762"/>
  <w15:docId w15:val="{27151D58-DCE7-468C-B4A5-5CE7E45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24A"/>
    <w:rPr>
      <w:sz w:val="20"/>
      <w:szCs w:val="20"/>
    </w:rPr>
  </w:style>
  <w:style w:type="character" w:styleId="FootnoteReference">
    <w:name w:val="footnote reference"/>
    <w:basedOn w:val="DefaultParagraphFont"/>
    <w:uiPriority w:val="99"/>
    <w:semiHidden/>
    <w:unhideWhenUsed/>
    <w:rsid w:val="00D5024A"/>
    <w:rPr>
      <w:vertAlign w:val="superscript"/>
    </w:rPr>
  </w:style>
  <w:style w:type="paragraph" w:styleId="ListParagraph">
    <w:name w:val="List Paragraph"/>
    <w:basedOn w:val="Normal"/>
    <w:uiPriority w:val="34"/>
    <w:qFormat/>
    <w:rsid w:val="00305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E5C7-EF04-4FD1-B03A-9BBE2149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9</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ARIYAN CO.</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Altin-SYSTEM</cp:lastModifiedBy>
  <cp:revision>9</cp:revision>
  <dcterms:created xsi:type="dcterms:W3CDTF">2014-12-04T13:17:00Z</dcterms:created>
  <dcterms:modified xsi:type="dcterms:W3CDTF">2023-03-16T05:42:00Z</dcterms:modified>
</cp:coreProperties>
</file>