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9B6" w14:textId="472AC4BE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b/>
          <w:bCs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38050BD8" wp14:editId="701DED70">
            <wp:extent cx="1428750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4C02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D79D269" w14:textId="2DBAC989" w:rsidR="00B71555" w:rsidRPr="00226A6A" w:rsidRDefault="00D1691E" w:rsidP="00226A6A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36"/>
          <w:szCs w:val="36"/>
          <w:lang w:bidi="fa-IR"/>
        </w:rPr>
      </w:pPr>
      <w:r w:rsidRPr="00226A6A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 xml:space="preserve">اجرای </w:t>
      </w:r>
      <w:r w:rsidR="007A18C2" w:rsidRPr="00226A6A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>حسابداری</w:t>
      </w:r>
      <w:r w:rsidR="007D52B0" w:rsidRPr="00226A6A">
        <w:rPr>
          <w:rFonts w:asciiTheme="majorBidi" w:hAnsiTheme="majorBidi" w:cs="B Nazanin"/>
          <w:b/>
          <w:bCs/>
          <w:color w:val="000000" w:themeColor="text1"/>
          <w:sz w:val="36"/>
          <w:szCs w:val="36"/>
          <w:lang w:bidi="fa-IR"/>
        </w:rPr>
        <w:t xml:space="preserve"> </w:t>
      </w:r>
      <w:r w:rsidR="007A18C2" w:rsidRPr="00226A6A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>تعهدی</w:t>
      </w:r>
      <w:r w:rsidRPr="00226A6A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 xml:space="preserve">: </w:t>
      </w:r>
      <w:r w:rsidR="009F6B6C" w:rsidRPr="00226A6A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 xml:space="preserve">مروری بر </w:t>
      </w:r>
      <w:r w:rsidR="000F47F3" w:rsidRPr="00226A6A">
        <w:rPr>
          <w:rFonts w:asciiTheme="majorBidi" w:hAnsiTheme="majorBidi" w:cs="B Nazanin" w:hint="cs"/>
          <w:b/>
          <w:bCs/>
          <w:color w:val="000000" w:themeColor="text1"/>
          <w:sz w:val="36"/>
          <w:szCs w:val="36"/>
          <w:rtl/>
          <w:lang w:bidi="fa-IR"/>
        </w:rPr>
        <w:t>میزان آ</w:t>
      </w:r>
      <w:r w:rsidR="009F6B6C" w:rsidRPr="00226A6A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>مادگی و مشکلات بالقوه</w:t>
      </w:r>
    </w:p>
    <w:p w14:paraId="0589E203" w14:textId="77777777" w:rsidR="007D52B0" w:rsidRPr="00226A6A" w:rsidRDefault="007D52B0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5B04032" w14:textId="77777777" w:rsidR="009F6B6C" w:rsidRPr="00226A6A" w:rsidRDefault="009F6B6C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چکیده</w:t>
      </w:r>
    </w:p>
    <w:p w14:paraId="259B6CFF" w14:textId="2DFDF20B" w:rsidR="009F6B6C" w:rsidRDefault="008C4B42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قرار بود از 1 ژانویه 2015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همه نمایندگی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دولتی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مبنای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تعهدی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اجرا کنند. هدف این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پژوهش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این است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میزان آمادگی و مشکلاتی را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 سر راه معرفی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واحد دولت محلی وجود دارد بررسی کند. داده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این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پژوهش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صورت کیفی بدست آمدند. یافته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نشان داد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فقط 68.8% از 25 بخشی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پالمبانگ وجود دارند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،حسابداریتعهدی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در بیانیه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مالی خود اجرا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کنند. نتایج مصاحبه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کیفی نیز حاکی از آن است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مشکلاتی در این مسیر وجود دارد.</w:t>
      </w:r>
    </w:p>
    <w:p w14:paraId="023B64AB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56B13A44" w14:textId="3B91B157" w:rsidR="00A939EF" w:rsidRDefault="00A939EF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کلیدواژه</w:t>
      </w:r>
      <w:r w:rsidR="009A7EF0"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 تعهدی، حسابداری، بیانه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 مالی، واحد دولت محلی، سیستم حسابداری، تنظیم دولت</w:t>
      </w:r>
    </w:p>
    <w:p w14:paraId="5F4D1971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6815356B" w14:textId="4D0A0B82" w:rsidR="008C4B42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1. </w:t>
      </w:r>
      <w:r w:rsidR="008C4B42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مقدمه</w:t>
      </w:r>
    </w:p>
    <w:p w14:paraId="10AF273C" w14:textId="77777777" w:rsidR="008C4B42" w:rsidRPr="00226A6A" w:rsidRDefault="008C4B42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پاسخگیی شفاف و عموم در حوزه استقلال منطقه ای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مهم ترین هدف اصلاحات بخش </w:t>
      </w:r>
      <w:r w:rsidR="00A254C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اندونزی بوده است.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UU No. 17/2300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گوید بیانیه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مالی باید توسط دولت محلی و مرکزی و طبق "استانداردهای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دولتی"</w:t>
      </w:r>
      <w:r w:rsidRPr="00226A6A">
        <w:rPr>
          <w:rStyle w:val="FootnoteReference"/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footnoteReference w:id="1"/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SAP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اماده شود.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SAP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ضمن صدور قانون تنظیم دولت (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PP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No. 71/2010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پاسخی است به درخواست مردم اندونزی در قبال اینکه باید دولت خوبی خلق شود تا پاسخگویی دولت ب ملت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خصوص در بخش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>مالی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شفاف باشد. </w:t>
      </w:r>
      <w:r w:rsidR="004F1C8F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از این رو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4F1C8F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گزارش </w:t>
      </w:r>
      <w:r w:rsidR="004F1C8F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APBN/APBD</w:t>
      </w:r>
      <w:r w:rsidR="004F1C8F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اطلاعات خیلی کامل</w:t>
      </w:r>
      <w:r w:rsidR="004F1C8F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  <w:t>تر و مفصل</w:t>
      </w:r>
      <w:r w:rsidR="004F1C8F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  <w:t>تری در مورد دارایی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4F1C8F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بدهی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4F1C8F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تنظیم کرد. </w:t>
      </w:r>
    </w:p>
    <w:p w14:paraId="2A80E8B6" w14:textId="2EEFA2C6" w:rsidR="0087378C" w:rsidRDefault="004F1C8F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از سال 2015 قرار بود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تمام نمایندگی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دولتی هم در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مرکز و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هم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در منطقه، بیانه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مالی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خود را به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تعهد محور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تهیه کنند. از این رو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دولت تصمیم گرفت تا مراحل رسیدن به اجرای فنی این رویکرد را آموزش دهد. هدف این است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مهارت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اجرایی آموخته شود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آگاهی ایجاد گردد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همه حزب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این امر مشارکت کنند. یافته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رون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2008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) نشان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دهد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نمایندگی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دولتی نتوانستند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SAP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بدون کمک از دیگران به طور کامل اجرا کنند. علاوه بر این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رون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2008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برخی مشکلات این مسیر را نیز شناسایی کرد: پیچیدگی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فنی در حوزه گزارش نویسی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مالی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 فقدان تجربه شرک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 کنندگان، و عدم تناسب زمین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 آموزشی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کارکنان. تاکنون چند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پژوهش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مورد میزان امادگ منطقه در اجرای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جندین منطقه اندونزی صورت گرفته است. نتایج حاکی از آنند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هنوز برخی مناطق این آمادگی را ندارند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ادراک انسانی در این مورد هنوز ضعیف است. اما همین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پژوهش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نشان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دهند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مناطق آماده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  <w:t>ای نیز برای اجرای این قانون وجود دارد.</w:t>
      </w:r>
      <w:r w:rsidR="00652EC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یافته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652EC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تحقیق اف. استیونز ردبارون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652EC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1993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652EC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نشان داد بهترین مورد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استفاده</w:t>
      </w:r>
      <w:r w:rsidR="00652EC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="00652EC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 در کنترل میزان هزینه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652EC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ست. همچنین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652EC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شیلا الوود و سوزان نیوبری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652EC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2006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652EC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دریافتند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652EC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همزمان 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با افزایش خصوصی سازی برای کاهش بدهی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دولتی نسبت به شرکت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</w:t>
      </w:r>
      <w:r w:rsidR="00A254C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بخش </w:t>
      </w:r>
      <w:r w:rsidR="00A254C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دولتی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انگلستان و نیوزلند راه اندازی شده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حتما باید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بیانیهمالی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کار گرفته شود تا امکان مقایسه با بخش خصوصی ایجاد شود. مارک کریستنسن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2007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موقعیت نارضایت بخشی را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کاراموزان و دانشجویان در بخش </w:t>
      </w:r>
      <w:r w:rsidR="00A254C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حسابداری تعهدی</w:t>
      </w:r>
      <w:r w:rsidR="003038CD" w:rsidRPr="00226A6A">
        <w:rPr>
          <w:rStyle w:val="FootnoteReference"/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footnoteReference w:id="2"/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PSAA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) با آن روبرو بودند بررسی کرد. این امر به خاطر فقدان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پژوهش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یی است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تاثیر اجرای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بر بخش </w:t>
      </w:r>
      <w:r w:rsidR="00A254C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(بخش </w:t>
      </w:r>
      <w:r w:rsidR="00A254C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دولتی) تحلیل کنند. در مورد اجرای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سایر کشورها نیز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پژوهش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یی انجام شده است: در استرالیا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آلان بارتون، 2007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در ترکیه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دکتر اکرم کارا و جونا کیلیک، 2011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ایران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سامان محمدی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محمد ماهر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سحر زارع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2012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  بلژیک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آر. جان کریستینز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2013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در برزیل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روسانا گورا دو 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>سوسا و همکاران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2013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این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پژوهش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مزایای اجرای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مطالب مقایسه ای برای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پژوهش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3038CD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بعدی را ذکر کرده اند.</w:t>
      </w:r>
      <w:r w:rsidR="00167A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برخی مشکلات شناسایی شده درحوزه اجرای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="00167A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بخش </w:t>
      </w:r>
      <w:r w:rsidR="00A254C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دولتی</w:t>
      </w:r>
      <w:r w:rsidR="00167A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عبارتند از: کمبود منابع انسانی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167A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منابع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مالی،</w:t>
      </w:r>
      <w:r w:rsidR="00167A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ظرفیت </w:t>
      </w:r>
      <w:r w:rsidR="00167A84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IT</w:t>
      </w:r>
      <w:r w:rsidR="00167A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 و ناکافی بودن زمان و پیچیدگی فرایند اجرای این رویکرد/ از این رو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167A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این سئوال مطرح 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167A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«دولت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167A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محلی تا چه حد برای اجرای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="00167A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بیانیه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167A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مالی</w:t>
      </w:r>
      <w:r w:rsidR="00167A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دولت محلی آمادگی دارند؟»</w:t>
      </w:r>
    </w:p>
    <w:p w14:paraId="3A4462FE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2E6C65A3" w14:textId="01F0D0A1" w:rsidR="00AB4E0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2. </w:t>
      </w:r>
      <w:r w:rsidR="00AB4E0A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مرور ادبیات </w:t>
      </w:r>
      <w:r w:rsidR="007A18C2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پژوهش</w:t>
      </w:r>
      <w:r w:rsidR="00AB4E0A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0F83D7B0" w14:textId="77777777" w:rsidR="00AB4E0A" w:rsidRPr="00226A6A" w:rsidRDefault="001322F2" w:rsidP="00226A6A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2.1</w:t>
      </w:r>
      <w:r w:rsidR="00AB4E0A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مبنای نظری</w:t>
      </w:r>
    </w:p>
    <w:p w14:paraId="4FF63AA0" w14:textId="258B50D3" w:rsidR="00AB4E0A" w:rsidRDefault="007A18C2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نظریه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مختلفی مانند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نظریه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مدیریت </w:t>
      </w:r>
      <w:r w:rsidR="00A254C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دولتی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جدید</w:t>
      </w:r>
      <w:r w:rsidR="00905760" w:rsidRPr="00226A6A">
        <w:rPr>
          <w:rStyle w:val="FootnoteReference"/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footnoteReference w:id="3"/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 نظریه هویت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نظریه نمایندگی ،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این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پژوهش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حمایت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کنند شرح داده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شوند. همچنین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اصلاحات بخش </w:t>
      </w:r>
      <w:r w:rsidR="00A254C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دولتی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اجرای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دولت اندونزی توضیح داده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شوند. چارچوب این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پژوهش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نظریه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زیر تشکیل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90576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دهند.</w:t>
      </w:r>
    </w:p>
    <w:p w14:paraId="6CA8784E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3433F51A" w14:textId="77777777" w:rsidR="00905760" w:rsidRPr="00226A6A" w:rsidRDefault="007A18C2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نظریه</w:t>
      </w:r>
      <w:r w:rsidR="00905760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مدیریت </w:t>
      </w:r>
      <w:r w:rsidR="00A254CC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دولتی</w:t>
      </w:r>
      <w:r w:rsidR="00905760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جدید</w:t>
      </w:r>
    </w:p>
    <w:p w14:paraId="484EAC47" w14:textId="161C3762" w:rsidR="008D7231" w:rsidRDefault="00905760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در ابتدای دهه 1990، علک اجرای </w:t>
      </w:r>
      <w:r w:rsidR="00A254C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پارادایم جدیدی را معرفی کرد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امروزه به نام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نظریه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مدیریت </w:t>
      </w:r>
      <w:r w:rsidR="00A254C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جدید (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NPM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) شناخته 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اگرچه این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نظریه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نام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دیگری نیز دارد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مانند پارادایم پس-بروکارتیک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بارزلی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1992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دولت ابتکار مجدد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اوسبورن و گابلر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1992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اما معمولا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NPM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نامیده 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به گفته کریستفور هود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یک پارادایم جایگزین جدید به شمار میاید. تاکید این پارادایم جدی این است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تغییرات رفتاری در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ایجاد شود تا اصول به طور کارآمدتری و موثری اجرا شوند. هود در کتاب خود با عنوان «دست نامرئی آدام اسمیت»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گوید نقش دولت باید کمرنگ شود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نقش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بخش خصوصی و دولتی باید بیشتر روی منابع عموم مردم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>متمرکز گردد. وقتی در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تغییر بخش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ایجاد شود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،حسابداری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بخش خصوصی نیز تغییر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کند؛ و به این ترتیب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سیستم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جریان نقدی نیز تغییر کرده و راه برای اجرای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باز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14:paraId="53856592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0D3404BA" w14:textId="77777777" w:rsidR="00AB6DD0" w:rsidRPr="00226A6A" w:rsidRDefault="007A18C2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نظریه</w:t>
      </w:r>
      <w:r w:rsidR="00AB6DD0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هویت</w:t>
      </w:r>
      <w:r w:rsidR="00AB6DD0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softHyphen/>
        <w:t>(ها)</w:t>
      </w:r>
    </w:p>
    <w:p w14:paraId="1FA5FA63" w14:textId="3F966A01" w:rsidR="00905760" w:rsidRDefault="007A18C2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نظریه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هویت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توسط پاتون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سواردژونو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2005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مطرح شده است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گوید سا</w:t>
      </w:r>
      <w:r w:rsidR="00A020A3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زمان یک واحد اقتصاید مستقل است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نفع خودش کار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کند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نسبت به مالک یا سایر حزب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یی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آن سرمایه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  <w:t>گذاری کرده اند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جایگاه جداگانه ای دارد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توان آن را از نظر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یا اقتصادی مرکز توجه قرار داد. از دیدگاه این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نظریه،حسابداری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بیشتر به هویت گزارش مالی مربوط است نه مالک. چنین سازمانی به صورت یک کل عمل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کند و از مدیریت بودجه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گیرد یا مسائل را مدیریت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کند. در این سازمان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واحدها باید حسابداری مالی و هویتی روشنی داشته باشند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به صورت دوره ای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،بیانیه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مالی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طبق استانداردهای حسابداری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</w:t>
      </w:r>
      <w:r w:rsidR="0064073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آماده سازند. </w:t>
      </w:r>
    </w:p>
    <w:p w14:paraId="086D8BA6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3D835EE3" w14:textId="77777777" w:rsidR="00A020A3" w:rsidRPr="00226A6A" w:rsidRDefault="007A18C2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نظریه</w:t>
      </w:r>
      <w:r w:rsidR="00A020A3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نمایندگی </w:t>
      </w:r>
    </w:p>
    <w:p w14:paraId="73DC09C5" w14:textId="6D930644" w:rsidR="00017CB1" w:rsidRDefault="00017CB1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جنسن و مک کلینگ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1976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نظریه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نمایندگی، رابطه نمایندگی را قراردی تعریف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کنند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آن یک یا بیش از یک شخص، شخص (نماینده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دیگری را استخدام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کند تا به نفع 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آن‌ها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کارهایی انجام دهد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از این رو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قدرت تصمیم گیری در برخی امور را به این نمایندگان تفویض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کنند. به گفته لان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2003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توان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نظریه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نمایندگی را در سازمان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به کار گرفت زیرا</w:t>
      </w:r>
      <w:r w:rsidR="006143D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وضعیت دموکراتیک مدرن بر مبنای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مجموعه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  <w:t>ای از روابط مبدا-نماینده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باشد. مشکلاتی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زمینه گزارش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مالی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ظهور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گنند اغلب ناشی از این است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منافع مدیریت با منافع سهامداران در تعارض است. انتظار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رود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استفاده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عنوان شکلی از رابطه میان مبدا و نماینده، پاسخگویی به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بیانیه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مالی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شفاف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  <w:t>تر سازد.</w:t>
      </w:r>
    </w:p>
    <w:p w14:paraId="3C6449ED" w14:textId="6E74E03D" w:rsid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14CB6785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5B6FCC91" w14:textId="77777777" w:rsidR="00A254CC" w:rsidRPr="00226A6A" w:rsidRDefault="00A254CC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2.2 اصلاحات بخش </w:t>
      </w:r>
      <w:r w:rsidR="007A18C2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دولت</w:t>
      </w:r>
      <w:r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6B07B635" w14:textId="5A4F0765" w:rsidR="00D4400E" w:rsidRDefault="00A254CC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ویژگی اصلاحات بخش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وجود مدیریت دولتی جدید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NPM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است.</w:t>
      </w:r>
      <w:r w:rsidR="00D4400E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واقع،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NPM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تکنیک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مدیریت بخش خصوصی را در بخش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</w:t>
      </w:r>
      <w:r w:rsidR="00D4400E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کار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D4400E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گیرد (کریستینز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D4400E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جی.،رینیرز بی.،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و رول سی،</w:t>
      </w:r>
      <w:r w:rsidR="00D4400E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2010؛ لاپسلی آی، موساری، آر.،و پالسون جی.،2009؛ هوود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D4400E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1995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D4400E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کارنگی و وست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2005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اظهار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کنند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استفاده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مدل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مالی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بخش خصوصی در بخش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ناشی از فقدان مسئولیت و چاسخگویی در این بخش است. کریستنسن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2002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گوید مهم ترین اصلاحی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بخشدولت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در ولز جنوبی جدید (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NSW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 به وجود آمده است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افزایش میزان مسئولیت است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سبب شده نقش سازمانی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بخشخصوصی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کمتر شود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دارایی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بیشتر کنترل شود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622B7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روی بازده و اقتصاد این بخش بیشتر تاکید گردد. 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در اندونزی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اصلاحات بخش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عبارت است از بهبود کارکردهای اقتصادی و سیاسی دولت مرکزی نسبت به دولت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محلی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همکاری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بخش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و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خصوصی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ارائه خدمات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بازسازی شرکت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ایالت-مالک برای اصلاح سیستم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حسابداریدولت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 علاوه بر این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دارایی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ایالتی </w:t>
      </w:r>
      <w:r w:rsidR="00D4400E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که قبلا 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ثبت شده </w:t>
      </w:r>
      <w:r w:rsidR="00D4400E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بودند اکنون 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طبقه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  <w:t>بندی شده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  <w:t>اند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سیستم بودجه بندی بهبود یافته است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D4400E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عد از اجرای فعالیت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دنیای کسب و کار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مسولیت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  <w:t>پذیری ایالت در قبال میزان هزینه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  <w:t xml:space="preserve">هایی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کند بیشتر شده است (آرون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2009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C63A9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14:paraId="24DBA2BB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21E5FFCC" w14:textId="77777777" w:rsidR="00D4400E" w:rsidRPr="00226A6A" w:rsidRDefault="00D4400E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2.3 توسعه </w:t>
      </w:r>
      <w:r w:rsidR="007A18C2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حسابداری</w:t>
      </w:r>
      <w:r w:rsidR="001322F2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7A18C2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تعهدی</w:t>
      </w:r>
      <w:r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در </w:t>
      </w:r>
      <w:r w:rsidR="007A18C2"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دولت</w:t>
      </w:r>
      <w:r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اندونزی</w:t>
      </w:r>
    </w:p>
    <w:p w14:paraId="0F93085C" w14:textId="77777777" w:rsidR="0087378C" w:rsidRPr="00226A6A" w:rsidRDefault="00D4400E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اصلاحات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حسابداریدولت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 تصویب ماده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UU No. 17/2003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مورد امور مالی ایالت اغاز شد؛ طبق این ماده، آماده سازی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بیانیه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مالی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نمایندگی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باید طبق این ماده آماده شوند. همچنین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تصویب ماده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UU No. 15/2004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مورد مدیریت و مسئولیت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  <w:t>پذیری دارایی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ایالت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این اصلاحات را تقویت کرد.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این قانون سبب شد تا فورا استانداردهای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عنوان مبنایی برای آماده سازی و حسابرسی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بیانیه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مالی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نمایندگی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طبق 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CPC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تدوین شوند. بدون داشتن یک استاندارد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CPC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نمی تواند یک نظر حسابرسی را تصویب کند. فرم پاسخگویی 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APBAN/APBD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یک بیانیه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مالی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باید با استانداردهای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حسابداریدولت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همراستا باشد. ماده 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UU No. 17/2003</w:t>
      </w:r>
      <w:r w:rsidR="00501AD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مورد امور مالی ایالت در بند 32 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درخولست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کند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شکل و محتوای گزارش پاسخگویی 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lastRenderedPageBreak/>
        <w:t>APBN/APBD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 اساس استاندادرهای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حسابداریدولت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اماده و ارائه گردد. این استانداردها توسط کمیته استانداردهای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حسابداریدولت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ی تدوین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شوند.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مبتنی بر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تعهدی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یکی از ابزارهایی است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شفافیت و پاسخگویی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دولت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حمایت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کند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KSAP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 2006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)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 همچنین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استراتژی 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SAP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بیانیه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مالیدولت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توان به دو صورت اجرا کرد: الف) اجرای فوری آن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(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بیگ بنگ)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این روش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SAP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تعهدی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محور همزمان در همه وزارت خانه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یا نمایندگی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اجرا 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؛ و ب) اجرای تدریجی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SAP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؛ در این روش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SAP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متناسب با آمادگی منابع انسانی (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HR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) و زمانی که ابزارهای لازم در هر نمایندگی و وزارت خانه فراهم شده باشد اجرا 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می‌شود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همه این سازمان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‌ها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نیز به اجرای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SAP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تعهدی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محور موظف</w:t>
      </w:r>
      <w:r w:rsidR="009A7EF0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می‌</w:t>
      </w:r>
      <w:r w:rsidR="00DC3759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باشند.</w:t>
      </w:r>
      <w:r w:rsidR="00E744B8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این رویکرد در سال 2015 به طور کامل اجرا خواهد شد.</w:t>
      </w:r>
    </w:p>
    <w:p w14:paraId="16B45D55" w14:textId="77777777" w:rsidR="003A3958" w:rsidRPr="00226A6A" w:rsidRDefault="003A3958" w:rsidP="00226A6A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جدول 1.راهبردهای </w:t>
      </w:r>
      <w:r w:rsidR="005854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اجرای </w:t>
      </w:r>
      <w:r w:rsidR="007A18C2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حسابداریتعهدی</w:t>
      </w:r>
      <w:r w:rsidR="00585484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 درجات </w:t>
      </w:r>
      <w:r w:rsidR="00585484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SAP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7282"/>
      </w:tblGrid>
      <w:tr w:rsidR="00585484" w:rsidRPr="00226A6A" w14:paraId="5AFD3F9D" w14:textId="77777777" w:rsidTr="007D52B0">
        <w:trPr>
          <w:jc w:val="center"/>
        </w:trPr>
        <w:tc>
          <w:tcPr>
            <w:tcW w:w="704" w:type="dxa"/>
          </w:tcPr>
          <w:p w14:paraId="206D4A4A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7282" w:type="dxa"/>
          </w:tcPr>
          <w:p w14:paraId="1BC7CC81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فعالیت</w:t>
            </w:r>
          </w:p>
        </w:tc>
      </w:tr>
      <w:tr w:rsidR="00585484" w:rsidRPr="00226A6A" w14:paraId="19B9F31C" w14:textId="77777777" w:rsidTr="007D52B0">
        <w:trPr>
          <w:jc w:val="center"/>
        </w:trPr>
        <w:tc>
          <w:tcPr>
            <w:tcW w:w="704" w:type="dxa"/>
          </w:tcPr>
          <w:p w14:paraId="407E4034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2010</w:t>
            </w:r>
          </w:p>
        </w:tc>
        <w:tc>
          <w:tcPr>
            <w:tcW w:w="7282" w:type="dxa"/>
          </w:tcPr>
          <w:p w14:paraId="4671E062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1. انتشار است</w:t>
            </w:r>
            <w:r w:rsidR="003A2FD7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انداردهای </w:t>
            </w:r>
            <w:r w:rsidR="007A18C2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حسابداریدولت</w:t>
            </w:r>
            <w:r w:rsidR="003A2FD7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بر مبنای تعهد</w:t>
            </w:r>
          </w:p>
        </w:tc>
      </w:tr>
      <w:tr w:rsidR="00585484" w:rsidRPr="00226A6A" w14:paraId="72C67CF6" w14:textId="77777777" w:rsidTr="007D52B0">
        <w:trPr>
          <w:jc w:val="center"/>
        </w:trPr>
        <w:tc>
          <w:tcPr>
            <w:tcW w:w="704" w:type="dxa"/>
          </w:tcPr>
          <w:p w14:paraId="0DB0350B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7282" w:type="dxa"/>
          </w:tcPr>
          <w:p w14:paraId="3BEF9F7E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2. تدوین چارچ</w:t>
            </w:r>
            <w:r w:rsidR="003A2FD7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وب </w:t>
            </w:r>
            <w:r w:rsidR="007A18C2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حسابداری تعهدی</w:t>
            </w:r>
          </w:p>
        </w:tc>
      </w:tr>
      <w:tr w:rsidR="00585484" w:rsidRPr="00226A6A" w14:paraId="15D07835" w14:textId="77777777" w:rsidTr="007D52B0">
        <w:trPr>
          <w:jc w:val="center"/>
        </w:trPr>
        <w:tc>
          <w:tcPr>
            <w:tcW w:w="704" w:type="dxa"/>
          </w:tcPr>
          <w:p w14:paraId="43B4E18D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7282" w:type="dxa"/>
          </w:tcPr>
          <w:p w14:paraId="0D3DC58D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3. اجتماعی</w:t>
            </w: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softHyphen/>
              <w:t xml:space="preserve">سازی </w:t>
            </w:r>
            <w:r w:rsidR="007A18C2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  <w:t>SAP</w:t>
            </w:r>
            <w:r w:rsidR="003A2FD7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تعهد محور</w:t>
            </w:r>
          </w:p>
        </w:tc>
      </w:tr>
      <w:tr w:rsidR="00585484" w:rsidRPr="00226A6A" w14:paraId="77DD722D" w14:textId="77777777" w:rsidTr="007D52B0">
        <w:trPr>
          <w:jc w:val="center"/>
        </w:trPr>
        <w:tc>
          <w:tcPr>
            <w:tcW w:w="704" w:type="dxa"/>
          </w:tcPr>
          <w:p w14:paraId="79A055C1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2011</w:t>
            </w:r>
          </w:p>
        </w:tc>
        <w:tc>
          <w:tcPr>
            <w:tcW w:w="7282" w:type="dxa"/>
          </w:tcPr>
          <w:p w14:paraId="1706B86A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1. آماده</w:t>
            </w: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softHyphen/>
              <w:t>سازی بر</w:t>
            </w:r>
            <w:r w:rsidR="003A2FD7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ای اجرای قوانین و سیاست</w:t>
            </w:r>
            <w:r w:rsidR="009A7EF0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‌ها</w:t>
            </w:r>
            <w:r w:rsidR="003A2FD7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ی </w:t>
            </w:r>
            <w:r w:rsidR="007A18C2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حسابداری</w:t>
            </w:r>
          </w:p>
        </w:tc>
      </w:tr>
      <w:tr w:rsidR="00585484" w:rsidRPr="00226A6A" w14:paraId="5AD88C9E" w14:textId="77777777" w:rsidTr="007D52B0">
        <w:trPr>
          <w:trHeight w:val="674"/>
          <w:jc w:val="center"/>
        </w:trPr>
        <w:tc>
          <w:tcPr>
            <w:tcW w:w="704" w:type="dxa"/>
          </w:tcPr>
          <w:p w14:paraId="057226FB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7282" w:type="dxa"/>
          </w:tcPr>
          <w:p w14:paraId="074E1DC4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2. توسعه سیستم</w:t>
            </w:r>
            <w:r w:rsidR="009A7EF0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‌ها</w:t>
            </w: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ی </w:t>
            </w:r>
            <w:r w:rsidR="007A18C2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حسابداری</w:t>
            </w: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و </w:t>
            </w: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  <w:t>IT</w:t>
            </w: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در بخش اول (ف</w:t>
            </w:r>
            <w:r w:rsidR="003A2FD7"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رایند کسب و کار و الزامات مفصل)</w:t>
            </w:r>
          </w:p>
        </w:tc>
      </w:tr>
      <w:tr w:rsidR="00585484" w:rsidRPr="00226A6A" w14:paraId="37873D3E" w14:textId="77777777" w:rsidTr="007D52B0">
        <w:trPr>
          <w:jc w:val="center"/>
        </w:trPr>
        <w:tc>
          <w:tcPr>
            <w:tcW w:w="704" w:type="dxa"/>
          </w:tcPr>
          <w:p w14:paraId="40976DE1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7282" w:type="dxa"/>
          </w:tcPr>
          <w:p w14:paraId="0C5F1A79" w14:textId="77777777" w:rsidR="00585484" w:rsidRPr="00226A6A" w:rsidRDefault="00585484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3. ظرفیت ساخت منابع انسانی</w:t>
            </w:r>
          </w:p>
        </w:tc>
      </w:tr>
      <w:tr w:rsidR="00585484" w:rsidRPr="00226A6A" w14:paraId="6F92BD30" w14:textId="77777777" w:rsidTr="007D52B0">
        <w:trPr>
          <w:jc w:val="center"/>
        </w:trPr>
        <w:tc>
          <w:tcPr>
            <w:tcW w:w="704" w:type="dxa"/>
          </w:tcPr>
          <w:p w14:paraId="5A455095" w14:textId="77777777" w:rsidR="00585484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2012</w:t>
            </w:r>
          </w:p>
        </w:tc>
        <w:tc>
          <w:tcPr>
            <w:tcW w:w="7282" w:type="dxa"/>
          </w:tcPr>
          <w:p w14:paraId="303154E6" w14:textId="77777777" w:rsidR="00585484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1. طرح</w:t>
            </w: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softHyphen/>
            </w: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ریزی چند </w:t>
            </w: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  <w:t>KL</w:t>
            </w: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و </w:t>
            </w: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  <w:t>BUN</w:t>
            </w:r>
          </w:p>
        </w:tc>
      </w:tr>
      <w:tr w:rsidR="003A2FD7" w:rsidRPr="00226A6A" w14:paraId="2FBAFD07" w14:textId="77777777" w:rsidTr="007D52B0">
        <w:trPr>
          <w:jc w:val="center"/>
        </w:trPr>
        <w:tc>
          <w:tcPr>
            <w:tcW w:w="704" w:type="dxa"/>
          </w:tcPr>
          <w:p w14:paraId="6B70DF22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7282" w:type="dxa"/>
          </w:tcPr>
          <w:p w14:paraId="642D0F90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2. مرور</w:t>
            </w:r>
            <w:r w:rsidR="007A18C2"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ارزیابی و ادغام کل </w:t>
            </w: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  <w:t>LK</w:t>
            </w:r>
          </w:p>
        </w:tc>
      </w:tr>
      <w:tr w:rsidR="003A2FD7" w:rsidRPr="00226A6A" w14:paraId="76C3A4CA" w14:textId="77777777" w:rsidTr="007D52B0">
        <w:trPr>
          <w:jc w:val="center"/>
        </w:trPr>
        <w:tc>
          <w:tcPr>
            <w:tcW w:w="704" w:type="dxa"/>
          </w:tcPr>
          <w:p w14:paraId="3389B6BB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7282" w:type="dxa"/>
          </w:tcPr>
          <w:p w14:paraId="4533FED2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3. ظرفیت ساخت منابع انسانی</w:t>
            </w:r>
          </w:p>
        </w:tc>
      </w:tr>
      <w:tr w:rsidR="003A2FD7" w:rsidRPr="00226A6A" w14:paraId="136FCE63" w14:textId="77777777" w:rsidTr="007D52B0">
        <w:trPr>
          <w:jc w:val="center"/>
        </w:trPr>
        <w:tc>
          <w:tcPr>
            <w:tcW w:w="704" w:type="dxa"/>
          </w:tcPr>
          <w:p w14:paraId="4A95C5CE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2013</w:t>
            </w:r>
          </w:p>
        </w:tc>
        <w:tc>
          <w:tcPr>
            <w:tcW w:w="7282" w:type="dxa"/>
          </w:tcPr>
          <w:p w14:paraId="6ED24361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1. اجرای موازی و ادغام کل </w:t>
            </w: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  <w:t>LK</w:t>
            </w:r>
          </w:p>
        </w:tc>
      </w:tr>
      <w:tr w:rsidR="003A2FD7" w:rsidRPr="00226A6A" w14:paraId="298D38B9" w14:textId="77777777" w:rsidTr="007D52B0">
        <w:trPr>
          <w:jc w:val="center"/>
        </w:trPr>
        <w:tc>
          <w:tcPr>
            <w:tcW w:w="704" w:type="dxa"/>
          </w:tcPr>
          <w:p w14:paraId="434D600A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7282" w:type="dxa"/>
          </w:tcPr>
          <w:p w14:paraId="0A6A42B1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2. مرور</w:t>
            </w:r>
            <w:r w:rsidR="007A18C2"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ارزیابی و ادغام کل </w:t>
            </w:r>
            <w:r w:rsidRPr="00226A6A"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  <w:t>LK</w:t>
            </w:r>
          </w:p>
        </w:tc>
      </w:tr>
      <w:tr w:rsidR="003A2FD7" w:rsidRPr="00226A6A" w14:paraId="511463DE" w14:textId="77777777" w:rsidTr="007D52B0">
        <w:trPr>
          <w:jc w:val="center"/>
        </w:trPr>
        <w:tc>
          <w:tcPr>
            <w:tcW w:w="704" w:type="dxa"/>
          </w:tcPr>
          <w:p w14:paraId="29C5E26E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7282" w:type="dxa"/>
          </w:tcPr>
          <w:p w14:paraId="278C6BE8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3. ظرفیت ساخت منابع انسانی</w:t>
            </w:r>
          </w:p>
        </w:tc>
      </w:tr>
      <w:tr w:rsidR="003A2FD7" w:rsidRPr="00226A6A" w14:paraId="2A6B50E0" w14:textId="77777777" w:rsidTr="007D52B0">
        <w:trPr>
          <w:jc w:val="center"/>
        </w:trPr>
        <w:tc>
          <w:tcPr>
            <w:tcW w:w="704" w:type="dxa"/>
          </w:tcPr>
          <w:p w14:paraId="16482B85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2014</w:t>
            </w:r>
          </w:p>
        </w:tc>
        <w:tc>
          <w:tcPr>
            <w:tcW w:w="7282" w:type="dxa"/>
          </w:tcPr>
          <w:p w14:paraId="69BA480F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1. اجرای کامل</w:t>
            </w:r>
          </w:p>
        </w:tc>
      </w:tr>
      <w:tr w:rsidR="003A2FD7" w:rsidRPr="00226A6A" w14:paraId="6B467C4B" w14:textId="77777777" w:rsidTr="007D52B0">
        <w:trPr>
          <w:jc w:val="center"/>
        </w:trPr>
        <w:tc>
          <w:tcPr>
            <w:tcW w:w="704" w:type="dxa"/>
          </w:tcPr>
          <w:p w14:paraId="720A6AA7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7282" w:type="dxa"/>
          </w:tcPr>
          <w:p w14:paraId="14AA7B3C" w14:textId="77777777" w:rsidR="003A2FD7" w:rsidRPr="00226A6A" w:rsidRDefault="003A2FD7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2. ظرفیت ساخت منابع انسانی (در حال ادامه)</w:t>
            </w:r>
          </w:p>
        </w:tc>
      </w:tr>
    </w:tbl>
    <w:p w14:paraId="611ADE0C" w14:textId="77777777" w:rsid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2DC19E28" w14:textId="546A76C8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lastRenderedPageBreak/>
        <w:t>3.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روش پژوهش</w:t>
      </w:r>
    </w:p>
    <w:p w14:paraId="524284F1" w14:textId="135BB8BE" w:rsidR="002619E1" w:rsidRDefault="002619E1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این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پژوهش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استراتژی تبیین متوالی به کار برده شد؛ به عبارت دیگر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مرحله اول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 صورت کیفی جمع آوری و تحلیل شدند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 در مرحله دوم، از تحلیل این 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‌ها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نتایج کمی اولیه بدست آمدند. این طرح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پژوهش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زمانی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که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ظاهرا از یک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پژوهش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کمی نتایج مورد انتظار حاصل ن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می‌شود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طرح مفیدی است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(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مورس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1991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در برخی منابع ذکر شده است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که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این ترکیب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پژوهش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 از ماتریس روش سه</w:t>
      </w:r>
      <w:r w:rsidR="00C470FE" w:rsidRPr="00226A6A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گانه-چندگانه کمپل و فیسک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(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1959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برگرفته شده است؛ این دو به منابع تبدیلی و سه کانه و 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‌ها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 کیفی علاقمند بودند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(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جیکس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1979 به نقل از کراسول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2010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البته، برخی نیز عقیده دارند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که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هدف از ابداع روش ترکیبی، رسیدن به یک روش</w:t>
      </w:r>
      <w:r w:rsidR="00C470FE" w:rsidRPr="00226A6A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شناسی متفاوت در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پژوهش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بوده است (کراسول و پلانو کلارک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2007؛ تشکری و تدلی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1998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هدف ما از بکار بردن این روش ترکیبی این بوده است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که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 یک رویکرد یک جامع دست یابیم تا بهتر دریابیم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که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چطور آمادگی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دولت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‌ها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 محلی برای اجرای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حسابداریتعهدی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بر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بیانیه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‌ها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مالی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دولت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‌ها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 محلی تاثیر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می‌</w:t>
      </w:r>
      <w:r w:rsidR="00C470FE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گذارد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="001F0C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موانعی را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که</w:t>
      </w:r>
      <w:r w:rsidR="001F0C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بر سر راه اجرای </w:t>
      </w:r>
      <w:r w:rsidR="001F0CC2" w:rsidRPr="00226A6A">
        <w:rPr>
          <w:rFonts w:asciiTheme="majorBidi" w:hAnsiTheme="majorBidi" w:cs="B Nazanin"/>
          <w:color w:val="000000" w:themeColor="text1"/>
          <w:sz w:val="28"/>
          <w:szCs w:val="28"/>
        </w:rPr>
        <w:t>PP 71</w:t>
      </w:r>
      <w:r w:rsidR="001F0C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 سال 2010 در حوزه تتتهای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حسابداریدولت</w:t>
      </w:r>
      <w:r w:rsidR="001F0C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 وجود دارد شناسایی کنیم.</w:t>
      </w:r>
    </w:p>
    <w:p w14:paraId="40CAFB95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5CF2F8CD" w14:textId="77777777" w:rsidR="001F0CC2" w:rsidRPr="00226A6A" w:rsidRDefault="001F0CC2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3.1 جامعه </w:t>
      </w:r>
      <w:r w:rsidR="007A18C2"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پژوهش</w:t>
      </w:r>
    </w:p>
    <w:p w14:paraId="703FB5D9" w14:textId="46226390" w:rsidR="0087378C" w:rsidRDefault="001051B2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جامعه آماری این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پژوهش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را واحدهای کار-کار در یک حوزه کاری در اداره خدمات خزانه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داری</w:t>
      </w:r>
      <w:r w:rsidRPr="00226A6A">
        <w:rPr>
          <w:rStyle w:val="FootnoteReference"/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footnoteReference w:id="4"/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KPPN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) پالمبانگ، و نمونه را اعضای بخش تخصیص بودجه (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KPA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) هر یک از این واحدها تشکیل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دادند</w:t>
      </w:r>
      <w:r w:rsidR="005B36E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. دلیل انتخاب اعضای </w:t>
      </w:r>
      <w:r w:rsidR="005B36E3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KPA</w:t>
      </w:r>
      <w:r w:rsidR="005B36E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به عنوان نمونه پاسخ</w:t>
      </w:r>
      <w:r w:rsidR="005B36E3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5B36E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دهنده در این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پژوهش</w:t>
      </w:r>
      <w:r w:rsidR="005B36E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این بود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="005B36E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با اجرای سیستم جدید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حسابداریتعهدی</w:t>
      </w:r>
      <w:r w:rsidR="005B36E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 سازمان آشنا هستند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="005B36E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و از این رو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="005B36E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پاسخدهی 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="005B36E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به پرسشنامه ما، قابل اعتماد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می‌</w:t>
      </w:r>
      <w:r w:rsidR="005B36E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باشد. </w:t>
      </w:r>
      <w:r w:rsidR="00C673FC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نویسندگان این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پژوهش،</w:t>
      </w:r>
      <w:r w:rsidR="00C673FC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کل جمعیت واحدهای کاری در اداره خزانه</w:t>
      </w:r>
      <w:r w:rsidR="00C673F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C673FC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داری پالمبانگ را مورد هدف قرار داده بودند.</w:t>
      </w:r>
    </w:p>
    <w:p w14:paraId="30525C63" w14:textId="62AF09F8" w:rsid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13292671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57303CD1" w14:textId="77777777" w:rsidR="00CA519B" w:rsidRPr="00226A6A" w:rsidRDefault="00CA519B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lastRenderedPageBreak/>
        <w:t>3.2 داده</w:t>
      </w:r>
      <w:r w:rsidR="009A7EF0"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‌ها</w:t>
      </w:r>
      <w:r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="007A18C2"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پژوهش</w:t>
      </w:r>
    </w:p>
    <w:p w14:paraId="709A08D9" w14:textId="2CB489EE" w:rsidR="00CA519B" w:rsidRDefault="00CA519B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بکار برده شده در این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پژوهش،داده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اولیه هستند، یعنی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به طور مستقیم از منبع اصلی بدست آمده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اند. این داد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با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از پرسشنامه و مصاحبه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با کارمندان بخش تخصیص بودجه در اداره خزانه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داری پالمبانگ کار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کرند جمع آوری شدند. همچنین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این یک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پژوهش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زمینه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یابی بود، یعنی روشی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 آن 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با کمک پرسشنامه بدست می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آیند.</w:t>
      </w:r>
    </w:p>
    <w:p w14:paraId="251C30E0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60524E63" w14:textId="77777777" w:rsidR="00C2038D" w:rsidRPr="00226A6A" w:rsidRDefault="00C2038D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3.3 تحلیل </w:t>
      </w:r>
      <w:r w:rsidR="007A18C2"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داده</w:t>
      </w:r>
      <w:r w:rsidR="009A7EF0"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‌ها</w:t>
      </w:r>
    </w:p>
    <w:p w14:paraId="509618FC" w14:textId="458BCACE" w:rsidR="00C2038D" w:rsidRDefault="007A18C2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یی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 مورد </w:t>
      </w:r>
      <w:r w:rsidR="000F47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آ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مادگی و اجرای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بر اساس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حسابداریتعهدی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بدست آمده بودند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مورد تحلیل قرار گرفتند. به 57 واحد کاری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و برای هر واحد، 5 پرسشنامه ارسال، و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جمع آوری شد. نتایج کمی این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پژوهش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بعدا توسط 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 کیفی تایید شد. از 5 واحدکاری انتخاب شده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 هر واحد با 5 نفر از کارمندان مصاحبه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 عمیق صورت گرفت و به این ترتییب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کیفی جمع شدند. بازیابی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کیفی بر مبنای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یی بود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2038D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از نتایج تست فراوانی قبلی بدست آمده بود.</w:t>
      </w:r>
      <w:r w:rsidR="00996B1F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سپس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996B1F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یی جمع آوری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می‌</w:t>
      </w:r>
      <w:r w:rsidR="00996B1F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شوند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96B1F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بتوانند نتایح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996B1F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 کمی قبلی را تایید کنند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="00996B1F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تا بتوان یک نتیجه</w:t>
      </w:r>
      <w:r w:rsidR="00996B1F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996B1F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گیری انجام داد.</w:t>
      </w:r>
      <w:r w:rsidR="005D048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تحلیل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5D048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کیفی مطابق با مدل میلز و هوبرمان (1992)، به نقل از سوگیونو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(</w:t>
      </w:r>
      <w:r w:rsidR="005D048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91: 2010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)</w:t>
      </w:r>
      <w:r w:rsidR="006A028C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انجام گرفت،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A028C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با عنوانیم چون جمع آوری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داده،</w:t>
      </w:r>
      <w:r w:rsidR="006A028C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کاهش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داده،</w:t>
      </w:r>
      <w:r w:rsidR="006A028C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ارائه 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داده،</w:t>
      </w:r>
      <w:r w:rsidR="006A028C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و تصمیم</w:t>
      </w:r>
      <w:r w:rsidR="006A028C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6A028C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گیری یا تایید ذکر شده است.</w:t>
      </w:r>
    </w:p>
    <w:p w14:paraId="1EF01AFA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29496067" w14:textId="77777777" w:rsidR="0052295D" w:rsidRPr="00226A6A" w:rsidRDefault="0052295D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4. یافته</w:t>
      </w:r>
      <w:r w:rsidR="009A7EF0"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‌ها</w:t>
      </w:r>
      <w:r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ی تحلیلی</w:t>
      </w:r>
    </w:p>
    <w:p w14:paraId="7F04159F" w14:textId="77777777" w:rsidR="0087378C" w:rsidRPr="00226A6A" w:rsidRDefault="0052295D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بر اساس نتایج 64 پرسشنامه مربوط به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25 SKPD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68.8% از واحدها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حسابداریتعهدی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را در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خود اجرا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کردند. میزان آمادگی در هر یک از عوامل سنیجده شده به این صورت بود: دانش 21.9%؛ آموزش 40.6%؛ سیستم 95.3%؛ وجود سیستم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 اجرایی 84.4%؛ کمک مشاوران 18.8%، و نظارت مشاوران 14.1%. نتایج آزمون میزان آمادگی در جدول 4 آورده شده است.</w:t>
      </w:r>
    </w:p>
    <w:p w14:paraId="5ABE7C88" w14:textId="77777777" w:rsidR="00BA153C" w:rsidRPr="00226A6A" w:rsidRDefault="00BA153C" w:rsidP="00226A6A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lastRenderedPageBreak/>
        <w:t>جدول 2. نتایج</w:t>
      </w:r>
      <w:r w:rsidR="000F47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بررسی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میزان آمادگی برای اجرای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حسابداریتعهدی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654"/>
        <w:gridCol w:w="1620"/>
      </w:tblGrid>
      <w:tr w:rsidR="00BA153C" w:rsidRPr="00226A6A" w14:paraId="36B6259F" w14:textId="77777777" w:rsidTr="007D52B0">
        <w:trPr>
          <w:jc w:val="center"/>
        </w:trPr>
        <w:tc>
          <w:tcPr>
            <w:tcW w:w="3116" w:type="dxa"/>
          </w:tcPr>
          <w:p w14:paraId="58BC4C57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متغیر</w:t>
            </w:r>
          </w:p>
        </w:tc>
        <w:tc>
          <w:tcPr>
            <w:tcW w:w="1654" w:type="dxa"/>
          </w:tcPr>
          <w:p w14:paraId="4AC984C4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فراوانی</w:t>
            </w:r>
          </w:p>
        </w:tc>
        <w:tc>
          <w:tcPr>
            <w:tcW w:w="1620" w:type="dxa"/>
          </w:tcPr>
          <w:p w14:paraId="2FF720E8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درصد</w:t>
            </w:r>
          </w:p>
        </w:tc>
      </w:tr>
      <w:tr w:rsidR="00BA153C" w:rsidRPr="00226A6A" w14:paraId="6208656B" w14:textId="77777777" w:rsidTr="007D52B0">
        <w:trPr>
          <w:jc w:val="center"/>
        </w:trPr>
        <w:tc>
          <w:tcPr>
            <w:tcW w:w="3116" w:type="dxa"/>
          </w:tcPr>
          <w:p w14:paraId="04CE073A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اجرا</w:t>
            </w:r>
          </w:p>
        </w:tc>
        <w:tc>
          <w:tcPr>
            <w:tcW w:w="1654" w:type="dxa"/>
          </w:tcPr>
          <w:p w14:paraId="6EF7F3F7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44</w:t>
            </w:r>
          </w:p>
        </w:tc>
        <w:tc>
          <w:tcPr>
            <w:tcW w:w="1620" w:type="dxa"/>
          </w:tcPr>
          <w:p w14:paraId="395737E7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68.8</w:t>
            </w:r>
          </w:p>
        </w:tc>
      </w:tr>
      <w:tr w:rsidR="00BA153C" w:rsidRPr="00226A6A" w14:paraId="5CD32D45" w14:textId="77777777" w:rsidTr="007D52B0">
        <w:trPr>
          <w:jc w:val="center"/>
        </w:trPr>
        <w:tc>
          <w:tcPr>
            <w:tcW w:w="3116" w:type="dxa"/>
          </w:tcPr>
          <w:p w14:paraId="7727A52A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آمادگی:</w:t>
            </w:r>
          </w:p>
        </w:tc>
        <w:tc>
          <w:tcPr>
            <w:tcW w:w="1654" w:type="dxa"/>
          </w:tcPr>
          <w:p w14:paraId="46F840A8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14:paraId="3CD5455F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A153C" w:rsidRPr="00226A6A" w14:paraId="716F1B53" w14:textId="77777777" w:rsidTr="007D52B0">
        <w:trPr>
          <w:jc w:val="center"/>
        </w:trPr>
        <w:tc>
          <w:tcPr>
            <w:tcW w:w="3116" w:type="dxa"/>
          </w:tcPr>
          <w:p w14:paraId="2C7C8F27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</w:t>
            </w:r>
          </w:p>
        </w:tc>
        <w:tc>
          <w:tcPr>
            <w:tcW w:w="1654" w:type="dxa"/>
          </w:tcPr>
          <w:p w14:paraId="418C91E7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620" w:type="dxa"/>
          </w:tcPr>
          <w:p w14:paraId="48C61060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12.9</w:t>
            </w:r>
          </w:p>
        </w:tc>
      </w:tr>
      <w:tr w:rsidR="00BA153C" w:rsidRPr="00226A6A" w14:paraId="7F45C7F1" w14:textId="77777777" w:rsidTr="007D52B0">
        <w:trPr>
          <w:jc w:val="center"/>
        </w:trPr>
        <w:tc>
          <w:tcPr>
            <w:tcW w:w="3116" w:type="dxa"/>
          </w:tcPr>
          <w:p w14:paraId="4E7820EF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آموزش</w:t>
            </w:r>
          </w:p>
        </w:tc>
        <w:tc>
          <w:tcPr>
            <w:tcW w:w="1654" w:type="dxa"/>
          </w:tcPr>
          <w:p w14:paraId="71944C4F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620" w:type="dxa"/>
          </w:tcPr>
          <w:p w14:paraId="61406A95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40.6</w:t>
            </w:r>
          </w:p>
        </w:tc>
      </w:tr>
      <w:tr w:rsidR="00BA153C" w:rsidRPr="00226A6A" w14:paraId="729FCA06" w14:textId="77777777" w:rsidTr="007D52B0">
        <w:trPr>
          <w:jc w:val="center"/>
        </w:trPr>
        <w:tc>
          <w:tcPr>
            <w:tcW w:w="3116" w:type="dxa"/>
          </w:tcPr>
          <w:p w14:paraId="33146562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سیستم اطلاعات </w:t>
            </w:r>
            <w:r w:rsidR="007A18C2"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حسابداری</w:t>
            </w:r>
          </w:p>
        </w:tc>
        <w:tc>
          <w:tcPr>
            <w:tcW w:w="1654" w:type="dxa"/>
          </w:tcPr>
          <w:p w14:paraId="30822BC2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1620" w:type="dxa"/>
          </w:tcPr>
          <w:p w14:paraId="0CD56C13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95.3</w:t>
            </w:r>
          </w:p>
        </w:tc>
      </w:tr>
      <w:tr w:rsidR="00BA153C" w:rsidRPr="00226A6A" w14:paraId="64DB4EE0" w14:textId="77777777" w:rsidTr="007D52B0">
        <w:trPr>
          <w:jc w:val="center"/>
        </w:trPr>
        <w:tc>
          <w:tcPr>
            <w:tcW w:w="3116" w:type="dxa"/>
          </w:tcPr>
          <w:p w14:paraId="77164010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برنامه اجرای </w:t>
            </w:r>
            <w:r w:rsidR="007A18C2"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حسابداریتعهدی</w:t>
            </w:r>
          </w:p>
        </w:tc>
        <w:tc>
          <w:tcPr>
            <w:tcW w:w="1654" w:type="dxa"/>
          </w:tcPr>
          <w:p w14:paraId="2BA497A1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54</w:t>
            </w:r>
          </w:p>
        </w:tc>
        <w:tc>
          <w:tcPr>
            <w:tcW w:w="1620" w:type="dxa"/>
          </w:tcPr>
          <w:p w14:paraId="6459D207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84.4</w:t>
            </w:r>
          </w:p>
        </w:tc>
      </w:tr>
      <w:tr w:rsidR="00BA153C" w:rsidRPr="00226A6A" w14:paraId="1EB4A3E4" w14:textId="77777777" w:rsidTr="007D52B0">
        <w:trPr>
          <w:jc w:val="center"/>
        </w:trPr>
        <w:tc>
          <w:tcPr>
            <w:tcW w:w="3116" w:type="dxa"/>
          </w:tcPr>
          <w:p w14:paraId="4C6DDCA3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هدایت</w:t>
            </w:r>
          </w:p>
        </w:tc>
        <w:tc>
          <w:tcPr>
            <w:tcW w:w="1654" w:type="dxa"/>
          </w:tcPr>
          <w:p w14:paraId="2DB63D52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620" w:type="dxa"/>
          </w:tcPr>
          <w:p w14:paraId="435B400A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18.8</w:t>
            </w:r>
          </w:p>
        </w:tc>
      </w:tr>
      <w:tr w:rsidR="00BA153C" w:rsidRPr="00226A6A" w14:paraId="387A39C6" w14:textId="77777777" w:rsidTr="007D52B0">
        <w:trPr>
          <w:jc w:val="center"/>
        </w:trPr>
        <w:tc>
          <w:tcPr>
            <w:tcW w:w="3116" w:type="dxa"/>
          </w:tcPr>
          <w:p w14:paraId="130016A8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نظارت کردن</w:t>
            </w:r>
          </w:p>
        </w:tc>
        <w:tc>
          <w:tcPr>
            <w:tcW w:w="1654" w:type="dxa"/>
          </w:tcPr>
          <w:p w14:paraId="0571E0AF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620" w:type="dxa"/>
          </w:tcPr>
          <w:p w14:paraId="7CC54F25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14.1</w:t>
            </w:r>
          </w:p>
        </w:tc>
      </w:tr>
      <w:tr w:rsidR="00BA153C" w:rsidRPr="00226A6A" w14:paraId="6237C7D3" w14:textId="77777777" w:rsidTr="007D52B0">
        <w:trPr>
          <w:jc w:val="center"/>
        </w:trPr>
        <w:tc>
          <w:tcPr>
            <w:tcW w:w="3116" w:type="dxa"/>
          </w:tcPr>
          <w:p w14:paraId="44073A2B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654" w:type="dxa"/>
          </w:tcPr>
          <w:p w14:paraId="644F6A45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64</w:t>
            </w:r>
          </w:p>
        </w:tc>
        <w:tc>
          <w:tcPr>
            <w:tcW w:w="1620" w:type="dxa"/>
          </w:tcPr>
          <w:p w14:paraId="55ACD36C" w14:textId="77777777" w:rsidR="00BA153C" w:rsidRPr="00226A6A" w:rsidRDefault="00BA153C" w:rsidP="00226A6A">
            <w:pPr>
              <w:bidi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6A6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100</w:t>
            </w:r>
          </w:p>
        </w:tc>
      </w:tr>
    </w:tbl>
    <w:p w14:paraId="6E728408" w14:textId="77777777" w:rsid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10F9D195" w14:textId="73B128AE" w:rsidR="00F8662A" w:rsidRPr="00226A6A" w:rsidRDefault="002326FC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وقتی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PP 71/2010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گوید چهار سال بعد از 2010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بر مبنای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حسابداریتعهدی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اماده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شوند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یعنی اینکه در سال 2015 تمام مراکز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دولت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و محلی باید به طور همزمان چنین کنند. اجرای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حسابداریتعهدی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باید به طور 100% اجرا گردد، اما نتایج نشان داد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فقط 68.8% چنین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کنند و 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اضافی بیشتری برای تایید این نتایج نیاز داریم. این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به صورت کیفی و توسط مصاحبه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عمیق با سه شخص آگاه در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SKPD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 نمونه قبلی بودند بدست آمده اند. در این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پژوهش،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نام پاسخ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دهندگان در نمونه ای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کیفی (با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از مصاحبه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 عمیق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)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از 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آن‌ها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بدست آمد ذکر نشده است زیرا هدف این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پژوهش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تایید نتایج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 کیفی است نه اینکه بخواهیم هویتی را در نمونه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که در اینجا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SKPD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می‌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تایید کنیم. سه شخص آگاهی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انتخاب شدند عبارت بودند از آقای الف به عنوان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KPP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(مدیر رسمی اجرای مالی) در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SKPD X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خانم ب به عنوان کارمند بخش مالی در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SKPD Y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و آقای ج به عنوان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KPP SKPD Z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. هدف مصاحبه نیز این بود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موانع اجرای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حسابداریتعهدی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SKPD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شناسایی شوند.</w:t>
      </w:r>
    </w:p>
    <w:p w14:paraId="5AE9F221" w14:textId="3A402B9B" w:rsidR="00FC6F13" w:rsidRDefault="00EA1F21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مصاحبه با آقای 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«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الف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»نشان دداد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عامل آموزش کارمندان و اجتماعی</w:t>
      </w:r>
      <w:r w:rsidR="00C019F3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سازی ضعیف، مانع از اجرای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حسابداریتعهدی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C019F3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SKPD X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شده است. در واقع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از 10 کارمندی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 دپارتمان مالی کار می</w:t>
      </w:r>
      <w:r w:rsidR="00C019F3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کردند فقط 2 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نفر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را آموزش دیده بودند. اجتماعی</w:t>
      </w:r>
      <w:r w:rsidR="00C019F3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سازی با قدرت نبوده است و هیچ یک از کارمندان دپارتمان مالی با این رویکرد آشنا نشده اند. مصاحبه با خانم «ب» نیز حاکی از این بود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عدم آموزش کارمندان یک عامل مهم برای اجرا نکردن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حسابداریتعهدی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 دپارتمان مالی </w:t>
      </w:r>
      <w:r w:rsidR="00C019F3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SKPD Y</w:t>
      </w:r>
      <w:r w:rsidR="00C019F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است، و کارمندان هنوز </w:t>
      </w:r>
      <w:r w:rsidR="00F86E11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این رویکرد را درک نکرده</w:t>
      </w:r>
      <w:r w:rsidR="00F86E11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F86E11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اند. در نهایت، مصاحبه با آقای «ج» نیز نشان داد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86E11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کارمندان دپارتمان مالی در </w:t>
      </w:r>
      <w:r w:rsidR="00F86E11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SKPD Z</w:t>
      </w:r>
      <w:r w:rsidR="00F86E11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از یک برنامه نرم افزاری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86E11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توسط </w:t>
      </w:r>
      <w:r w:rsidR="00F86E11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BPKP</w:t>
      </w:r>
      <w:r w:rsidR="00F86E11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(بدنه</w:t>
      </w:r>
      <w:r w:rsidR="00F86E11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F86E11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های نظارت و توسعه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F86E11" w:rsidRPr="00226A6A">
        <w:rPr>
          <w:rStyle w:val="FootnoteReference"/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footnoteReference w:id="5"/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)</w:t>
      </w:r>
      <w:r w:rsidR="00FC6F1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تهیه شده و </w:t>
      </w:r>
      <w:proofErr w:type="spellStart"/>
      <w:r w:rsidR="00FC6F13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Saiba</w:t>
      </w:r>
      <w:proofErr w:type="spellEnd"/>
      <w:r w:rsidR="00FC6F1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(سیستم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حسابداریتعهدی</w:t>
      </w:r>
      <w:r w:rsidR="00FC6F1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و اطلاعات) نامیده 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می‌</w:t>
      </w:r>
      <w:r w:rsidR="00FC6F1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کنند. علاوه بر این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="00FC6F13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SKPD Z</w:t>
      </w:r>
      <w:r w:rsidR="00FC6F1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از یک مشاوز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C6F1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مربی حسابداری دانشگاه استیت در شهر پالمبانگ، و عضو </w:t>
      </w:r>
      <w:r w:rsidR="00FC6F13"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IAI</w:t>
      </w:r>
      <w:r w:rsidR="00FC6F1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(گروه حسابداران اندونزی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)</w:t>
      </w:r>
      <w:r w:rsidR="00FC6F1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می</w:t>
      </w:r>
      <w:r w:rsidR="00FC6F13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FC6F1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باشد بهره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می‌</w:t>
      </w:r>
      <w:r w:rsidR="00FC6F13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گیرد.</w:t>
      </w:r>
    </w:p>
    <w:p w14:paraId="4AD5A729" w14:textId="77777777" w:rsidR="00226A6A" w:rsidRPr="00226A6A" w:rsidRDefault="00226A6A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5BFAD43F" w14:textId="77777777" w:rsidR="0054742C" w:rsidRPr="00226A6A" w:rsidRDefault="0054742C" w:rsidP="00226A6A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5. نتیجه</w:t>
      </w:r>
      <w:r w:rsidRPr="00226A6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226A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گیری</w:t>
      </w:r>
    </w:p>
    <w:p w14:paraId="40AD632E" w14:textId="77777777" w:rsidR="00D1691E" w:rsidRPr="00226A6A" w:rsidRDefault="0054742C" w:rsidP="00226A6A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علیرغم ماده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PP 71/2010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مبنی بر اینکه تمام </w:t>
      </w:r>
      <w:r w:rsidRPr="00226A6A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SKPD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ها در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دولت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محلی و مرکزی باید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حسابداریتعهدی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را در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 مالی خود به کار گیرند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این کار هنوز به طور 100% موفقیت آمیز اجرا نشده است. 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این امر تا حدی به دلیل عدم آشنایی کارمندان بخش مالی با اجرای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مالیتعهدی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محورست. یکی دیگر از عوامل نیز این است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اجتماعی</w:t>
      </w:r>
      <w:r w:rsidR="000E78A5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سازی این رویکرد ضعیف بوده و آموزش کارمندان متناسب با حرفه نمی باشد. اگرچه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دولت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یک سیستم اطلاعات و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حسابداریتعهدی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ایجاد کرده است، اما این کار تضمین نمی کند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اجرای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بیانیه</w:t>
      </w:r>
      <w:r w:rsidR="009A7EF0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‌ها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بر اساس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حسابداریتعهدی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موفقیت</w:t>
      </w:r>
      <w:r w:rsidR="000E78A5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آمیز باشد. از این رو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باید آموزش به کارمندان دپارتمان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 اولویت قرار گیرد. همچنین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شاید لازم باشد جا به جایی در کارمندان صورت گیرد و کارمندانی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آموزش </w:t>
      </w:r>
      <w:r w:rsidR="007A18C2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حسابداریمالی</w:t>
      </w:r>
      <w:r w:rsidR="000E78A5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دیده</w:t>
      </w:r>
      <w:r w:rsidR="000E78A5" w:rsidRPr="00226A6A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87378C" w:rsidRPr="00226A6A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اند در راس قرار گیرند.</w:t>
      </w:r>
    </w:p>
    <w:p w14:paraId="56C2C3EF" w14:textId="77777777" w:rsidR="007D52B0" w:rsidRPr="00226A6A" w:rsidRDefault="007D52B0" w:rsidP="00226A6A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226A6A">
        <w:rPr>
          <w:rFonts w:asciiTheme="majorBidi" w:hAnsiTheme="majorBidi" w:cs="B Nazani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EC09C97" wp14:editId="5E441649">
            <wp:extent cx="6188710" cy="382602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2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39B11" w14:textId="77777777" w:rsidR="007D52B0" w:rsidRPr="00226A6A" w:rsidRDefault="007D52B0" w:rsidP="00226A6A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226A6A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7517C8A8" wp14:editId="2C79C294">
            <wp:extent cx="6188710" cy="2702327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0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2B0" w:rsidRPr="00226A6A" w:rsidSect="00226A6A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245D" w14:textId="77777777" w:rsidR="00906BDE" w:rsidRDefault="00906BDE" w:rsidP="008C4B42">
      <w:pPr>
        <w:spacing w:after="0" w:line="240" w:lineRule="auto"/>
      </w:pPr>
      <w:r>
        <w:separator/>
      </w:r>
    </w:p>
  </w:endnote>
  <w:endnote w:type="continuationSeparator" w:id="0">
    <w:p w14:paraId="6F4D4D05" w14:textId="77777777" w:rsidR="00906BDE" w:rsidRDefault="00906BDE" w:rsidP="008C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KM-ecrm144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6EB8" w14:textId="77777777" w:rsidR="00906BDE" w:rsidRDefault="00906BDE" w:rsidP="008C4B42">
      <w:pPr>
        <w:spacing w:after="0" w:line="240" w:lineRule="auto"/>
      </w:pPr>
      <w:r>
        <w:separator/>
      </w:r>
    </w:p>
  </w:footnote>
  <w:footnote w:type="continuationSeparator" w:id="0">
    <w:p w14:paraId="5B130097" w14:textId="77777777" w:rsidR="00906BDE" w:rsidRDefault="00906BDE" w:rsidP="008C4B42">
      <w:pPr>
        <w:spacing w:after="0" w:line="240" w:lineRule="auto"/>
      </w:pPr>
      <w:r>
        <w:continuationSeparator/>
      </w:r>
    </w:p>
  </w:footnote>
  <w:footnote w:id="1">
    <w:p w14:paraId="49976604" w14:textId="77777777" w:rsidR="00A939EF" w:rsidRDefault="00A939E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lang w:bidi="fa-IR"/>
        </w:rPr>
        <w:t xml:space="preserve">Government Accounting Standard </w:t>
      </w:r>
    </w:p>
  </w:footnote>
  <w:footnote w:id="2">
    <w:p w14:paraId="50319659" w14:textId="77777777" w:rsidR="00A939EF" w:rsidRDefault="00A939E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lang w:bidi="fa-IR"/>
        </w:rPr>
        <w:t xml:space="preserve">Public Sector Accrual Accounting </w:t>
      </w:r>
    </w:p>
  </w:footnote>
  <w:footnote w:id="3">
    <w:p w14:paraId="1961BE95" w14:textId="77777777" w:rsidR="00A939EF" w:rsidRDefault="00A939E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lang w:bidi="fa-IR"/>
        </w:rPr>
        <w:t xml:space="preserve">New public Management Theory </w:t>
      </w:r>
    </w:p>
  </w:footnote>
  <w:footnote w:id="4">
    <w:p w14:paraId="55D92355" w14:textId="77777777" w:rsidR="00A939EF" w:rsidRDefault="00A939E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lang w:bidi="fa-IR"/>
        </w:rPr>
        <w:t xml:space="preserve">Treasury Services Office </w:t>
      </w:r>
    </w:p>
  </w:footnote>
  <w:footnote w:id="5">
    <w:p w14:paraId="062D5F7B" w14:textId="77777777" w:rsidR="00A939EF" w:rsidRDefault="00A939E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Financial supervisory bodies and developments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0602"/>
    <w:multiLevelType w:val="hybridMultilevel"/>
    <w:tmpl w:val="799A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72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91E"/>
    <w:rsid w:val="00017CB1"/>
    <w:rsid w:val="0007478A"/>
    <w:rsid w:val="000E78A5"/>
    <w:rsid w:val="000F47F3"/>
    <w:rsid w:val="001051B2"/>
    <w:rsid w:val="001322F2"/>
    <w:rsid w:val="00167A84"/>
    <w:rsid w:val="0018665E"/>
    <w:rsid w:val="001F0CC2"/>
    <w:rsid w:val="00226A6A"/>
    <w:rsid w:val="002326FC"/>
    <w:rsid w:val="002619E1"/>
    <w:rsid w:val="003038CD"/>
    <w:rsid w:val="003A2FD7"/>
    <w:rsid w:val="003A3958"/>
    <w:rsid w:val="00427A96"/>
    <w:rsid w:val="00452C5F"/>
    <w:rsid w:val="004F1C8F"/>
    <w:rsid w:val="00501ADC"/>
    <w:rsid w:val="0052295D"/>
    <w:rsid w:val="0054742C"/>
    <w:rsid w:val="00585484"/>
    <w:rsid w:val="005B36E3"/>
    <w:rsid w:val="005D0482"/>
    <w:rsid w:val="006143D4"/>
    <w:rsid w:val="00622B78"/>
    <w:rsid w:val="00640732"/>
    <w:rsid w:val="00647874"/>
    <w:rsid w:val="00652EC0"/>
    <w:rsid w:val="006A028C"/>
    <w:rsid w:val="006E18B2"/>
    <w:rsid w:val="007A18C2"/>
    <w:rsid w:val="007D52B0"/>
    <w:rsid w:val="0087378C"/>
    <w:rsid w:val="008C4B42"/>
    <w:rsid w:val="008D7231"/>
    <w:rsid w:val="008F13CB"/>
    <w:rsid w:val="00905760"/>
    <w:rsid w:val="00906BDE"/>
    <w:rsid w:val="00996B1F"/>
    <w:rsid w:val="009A7EF0"/>
    <w:rsid w:val="009E243F"/>
    <w:rsid w:val="009F6B6C"/>
    <w:rsid w:val="00A020A3"/>
    <w:rsid w:val="00A254CC"/>
    <w:rsid w:val="00A939EF"/>
    <w:rsid w:val="00AB4E0A"/>
    <w:rsid w:val="00AB6DD0"/>
    <w:rsid w:val="00B71555"/>
    <w:rsid w:val="00BA153C"/>
    <w:rsid w:val="00C019F3"/>
    <w:rsid w:val="00C2038D"/>
    <w:rsid w:val="00C22374"/>
    <w:rsid w:val="00C470FE"/>
    <w:rsid w:val="00C63A98"/>
    <w:rsid w:val="00C673FC"/>
    <w:rsid w:val="00CA519B"/>
    <w:rsid w:val="00D0127B"/>
    <w:rsid w:val="00D1691E"/>
    <w:rsid w:val="00D4400E"/>
    <w:rsid w:val="00DC3759"/>
    <w:rsid w:val="00E744B8"/>
    <w:rsid w:val="00EA1F21"/>
    <w:rsid w:val="00F8662A"/>
    <w:rsid w:val="00F86E11"/>
    <w:rsid w:val="00FC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C041"/>
  <w15:docId w15:val="{69EC3941-27B2-4A37-AD58-05F2E80F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4B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B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B42"/>
    <w:rPr>
      <w:vertAlign w:val="superscript"/>
    </w:rPr>
  </w:style>
  <w:style w:type="table" w:styleId="TableGrid">
    <w:name w:val="Table Grid"/>
    <w:basedOn w:val="TableNormal"/>
    <w:uiPriority w:val="39"/>
    <w:rsid w:val="0058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6143D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143D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71">
    <w:name w:val="fontstyle71"/>
    <w:basedOn w:val="DefaultParagraphFont"/>
    <w:rsid w:val="0087378C"/>
    <w:rPr>
      <w:rFonts w:ascii="BKM-ecrm1440" w:hAnsi="BKM-ecrm1440" w:hint="default"/>
      <w:b w:val="0"/>
      <w:bCs w:val="0"/>
      <w:i w:val="0"/>
      <w:iCs w:val="0"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45E-3D5A-4AAD-8F04-3ABF7D46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ALTIN-system</cp:lastModifiedBy>
  <cp:revision>35</cp:revision>
  <dcterms:created xsi:type="dcterms:W3CDTF">2017-10-30T18:36:00Z</dcterms:created>
  <dcterms:modified xsi:type="dcterms:W3CDTF">2022-10-24T10:46:00Z</dcterms:modified>
</cp:coreProperties>
</file>